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A21D" w14:textId="46B57A6D" w:rsidR="004F77F6" w:rsidRPr="001941B0" w:rsidRDefault="004F77F6" w:rsidP="004F77F6">
      <w:pPr>
        <w:jc w:val="center"/>
        <w:rPr>
          <w:b/>
          <w:bCs/>
          <w:sz w:val="24"/>
          <w:szCs w:val="24"/>
        </w:rPr>
      </w:pPr>
      <w:r w:rsidRPr="001941B0">
        <w:rPr>
          <w:b/>
          <w:bCs/>
          <w:sz w:val="24"/>
          <w:szCs w:val="24"/>
        </w:rPr>
        <w:t xml:space="preserve">Raport z konsultacji publicznych oraz opiniowania </w:t>
      </w:r>
      <w:r w:rsidRPr="001941B0">
        <w:br/>
      </w:r>
      <w:r w:rsidRPr="001941B0">
        <w:rPr>
          <w:b/>
          <w:bCs/>
          <w:sz w:val="24"/>
          <w:szCs w:val="24"/>
        </w:rPr>
        <w:t>projektu ustawy o</w:t>
      </w:r>
      <w:r w:rsidR="004F604E" w:rsidRPr="001941B0">
        <w:rPr>
          <w:b/>
          <w:bCs/>
          <w:sz w:val="24"/>
          <w:szCs w:val="24"/>
        </w:rPr>
        <w:t xml:space="preserve"> zmianie niektórych ustaw w związku z rozwojem usług e-zdrowia</w:t>
      </w:r>
    </w:p>
    <w:p w14:paraId="0EC4ECFC" w14:textId="43DEC1DF" w:rsidR="004F77F6" w:rsidRPr="001941B0" w:rsidRDefault="004F77F6" w:rsidP="004F77F6">
      <w:pPr>
        <w:jc w:val="both"/>
      </w:pPr>
      <w:r w:rsidRPr="001941B0">
        <w:t xml:space="preserve">Zgodnie z art. 5 ustawy z dnia 7 lipca 2005 r. o działalności lobbingowej w procesie stanowienia prawa (Dz.U. z 2025 r. poz. 677, z późn. zm.), z chwilą skierowania ww. projektu </w:t>
      </w:r>
      <w:r w:rsidR="004F604E" w:rsidRPr="001941B0">
        <w:t xml:space="preserve">ustawy </w:t>
      </w:r>
      <w:r w:rsidRPr="001941B0">
        <w:t>do konsultacji publicznych i opiniowania oraz zgodnie z § 52 ust. 1 uchwały nr 190 Rady Ministrów z dnia 29 października 2013 r. Regulamin pracy Rady Ministrów (M. P. z 2024 r. poz. 806, z późn. zm.) przedmiotowy projekt został zamieszczony w Biuletynie Informacji Publicznej na stronie Rządowego Centrum Legislacji w serwisie Rządowy Proces Legislacyjny.</w:t>
      </w:r>
    </w:p>
    <w:p w14:paraId="33C426BC" w14:textId="2BC94F09" w:rsidR="004F77F6" w:rsidRPr="001941B0" w:rsidRDefault="004F77F6" w:rsidP="004F77F6">
      <w:pPr>
        <w:jc w:val="both"/>
      </w:pPr>
      <w:r w:rsidRPr="001941B0">
        <w:t xml:space="preserve">W trybie art. 7 ustawy z dnia 7 lipca 2005 r. o działalności lobbingowej w procesie stanowienia prawa żaden z podmiotów nie zgłosił zainteresowania pracami nad projektem </w:t>
      </w:r>
      <w:r w:rsidR="009C6013" w:rsidRPr="001941B0">
        <w:t>ustawy</w:t>
      </w:r>
      <w:r w:rsidRPr="001941B0">
        <w:t>.</w:t>
      </w:r>
    </w:p>
    <w:p w14:paraId="070ED411" w14:textId="37019C58" w:rsidR="004F77F6" w:rsidRPr="001941B0" w:rsidRDefault="004F77F6" w:rsidP="004F77F6">
      <w:pPr>
        <w:jc w:val="both"/>
      </w:pPr>
      <w:r w:rsidRPr="001941B0">
        <w:t xml:space="preserve">Projekt został przekazany do konsultacji publicznych i opiniowania (z terminem </w:t>
      </w:r>
      <w:r w:rsidR="00B1515C" w:rsidRPr="001941B0">
        <w:t xml:space="preserve">14 </w:t>
      </w:r>
      <w:r w:rsidRPr="001941B0">
        <w:t>dni na zgłaszanie uwag) do podmiotów wyszczególnionych w pkt 5 OSR.</w:t>
      </w:r>
    </w:p>
    <w:p w14:paraId="5EEA3484" w14:textId="77777777" w:rsidR="004F77F6" w:rsidRPr="001941B0" w:rsidRDefault="004F77F6" w:rsidP="004F77F6">
      <w:pPr>
        <w:jc w:val="both"/>
      </w:pPr>
      <w:r w:rsidRPr="001941B0">
        <w:t>W ramach konsultacji publicznych i opiniowania zgłoszono następujące uwagi do projektowanej ustawy (pisownia oryginalna).</w:t>
      </w:r>
    </w:p>
    <w:tbl>
      <w:tblPr>
        <w:tblpPr w:leftFromText="141" w:rightFromText="141" w:vertAnchor="text" w:tblpX="-147" w:tblpY="1"/>
        <w:tblOverlap w:val="never"/>
        <w:tblW w:w="14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03"/>
        <w:gridCol w:w="2870"/>
        <w:gridCol w:w="1929"/>
        <w:gridCol w:w="5567"/>
        <w:gridCol w:w="2847"/>
      </w:tblGrid>
      <w:tr w:rsidR="00FC7212" w:rsidRPr="001941B0" w14:paraId="630EB45A" w14:textId="77777777" w:rsidTr="7139DBB9">
        <w:tc>
          <w:tcPr>
            <w:tcW w:w="1125" w:type="dxa"/>
            <w:shd w:val="clear" w:color="auto" w:fill="FFFFFF" w:themeFill="background1"/>
          </w:tcPr>
          <w:p w14:paraId="59ED8976" w14:textId="77777777" w:rsidR="004F77F6" w:rsidRPr="001941B0" w:rsidRDefault="004F77F6" w:rsidP="006E0CB2">
            <w:pPr>
              <w:autoSpaceDE w:val="0"/>
              <w:autoSpaceDN w:val="0"/>
              <w:adjustRightInd w:val="0"/>
              <w:spacing w:after="0" w:line="240" w:lineRule="auto"/>
              <w:ind w:right="-12"/>
              <w:rPr>
                <w:rFonts w:eastAsia="Times New Roman" w:cstheme="minorHAnsi"/>
                <w:sz w:val="20"/>
                <w:szCs w:val="20"/>
                <w:lang w:eastAsia="pl-PL"/>
              </w:rPr>
            </w:pPr>
            <w:r w:rsidRPr="001941B0">
              <w:rPr>
                <w:rFonts w:eastAsia="Times New Roman" w:cstheme="minorHAnsi"/>
                <w:sz w:val="20"/>
                <w:szCs w:val="20"/>
                <w:lang w:eastAsia="pl-PL"/>
              </w:rPr>
              <w:t>L.p.</w:t>
            </w:r>
          </w:p>
        </w:tc>
        <w:tc>
          <w:tcPr>
            <w:tcW w:w="2735" w:type="dxa"/>
            <w:shd w:val="clear" w:color="auto" w:fill="FFFFFF" w:themeFill="background1"/>
          </w:tcPr>
          <w:p w14:paraId="08BF6816" w14:textId="77777777" w:rsidR="004F77F6" w:rsidRPr="001941B0" w:rsidRDefault="004F77F6" w:rsidP="006E0CB2">
            <w:pPr>
              <w:autoSpaceDE w:val="0"/>
              <w:autoSpaceDN w:val="0"/>
              <w:adjustRightInd w:val="0"/>
              <w:spacing w:after="0" w:line="240" w:lineRule="auto"/>
              <w:jc w:val="center"/>
              <w:rPr>
                <w:rFonts w:eastAsia="Times New Roman" w:cs="Arial"/>
                <w:sz w:val="20"/>
                <w:szCs w:val="20"/>
                <w:lang w:eastAsia="pl-PL"/>
              </w:rPr>
            </w:pPr>
            <w:r w:rsidRPr="001941B0">
              <w:rPr>
                <w:rFonts w:eastAsia="Times New Roman" w:cs="Arial"/>
                <w:sz w:val="20"/>
                <w:szCs w:val="20"/>
                <w:lang w:eastAsia="pl-PL"/>
              </w:rPr>
              <w:t>Podmiot zgłaszający uwagę</w:t>
            </w:r>
          </w:p>
        </w:tc>
        <w:tc>
          <w:tcPr>
            <w:tcW w:w="1949" w:type="dxa"/>
            <w:shd w:val="clear" w:color="auto" w:fill="FFFFFF" w:themeFill="background1"/>
          </w:tcPr>
          <w:p w14:paraId="3208BCE7" w14:textId="77777777" w:rsidR="004F77F6" w:rsidRPr="001941B0" w:rsidRDefault="004F77F6" w:rsidP="006E0CB2">
            <w:pPr>
              <w:autoSpaceDE w:val="0"/>
              <w:autoSpaceDN w:val="0"/>
              <w:adjustRightInd w:val="0"/>
              <w:spacing w:after="0" w:line="240" w:lineRule="auto"/>
              <w:jc w:val="center"/>
              <w:rPr>
                <w:rFonts w:eastAsia="Times New Roman" w:cstheme="minorHAnsi"/>
                <w:sz w:val="20"/>
                <w:szCs w:val="20"/>
                <w:lang w:eastAsia="pl-PL"/>
              </w:rPr>
            </w:pPr>
            <w:r w:rsidRPr="001941B0">
              <w:rPr>
                <w:rFonts w:eastAsia="Times New Roman" w:cstheme="minorHAnsi"/>
                <w:sz w:val="20"/>
                <w:szCs w:val="20"/>
                <w:lang w:eastAsia="pl-PL"/>
              </w:rPr>
              <w:t>Przepis, którego dotyczy uwaga</w:t>
            </w:r>
          </w:p>
        </w:tc>
        <w:tc>
          <w:tcPr>
            <w:tcW w:w="5652" w:type="dxa"/>
            <w:shd w:val="clear" w:color="auto" w:fill="FFFFFF" w:themeFill="background1"/>
          </w:tcPr>
          <w:p w14:paraId="1443CA81" w14:textId="77777777" w:rsidR="004F77F6" w:rsidRPr="001941B0" w:rsidRDefault="004F77F6" w:rsidP="006E0CB2">
            <w:pPr>
              <w:autoSpaceDE w:val="0"/>
              <w:autoSpaceDN w:val="0"/>
              <w:adjustRightInd w:val="0"/>
              <w:spacing w:after="0" w:line="240" w:lineRule="auto"/>
              <w:jc w:val="center"/>
              <w:rPr>
                <w:rFonts w:eastAsia="Times New Roman" w:cs="Arial"/>
                <w:sz w:val="20"/>
                <w:szCs w:val="20"/>
                <w:lang w:eastAsia="pl-PL"/>
              </w:rPr>
            </w:pPr>
            <w:r w:rsidRPr="001941B0">
              <w:rPr>
                <w:rFonts w:eastAsia="Times New Roman" w:cs="Arial"/>
                <w:sz w:val="20"/>
                <w:szCs w:val="20"/>
                <w:lang w:eastAsia="pl-PL"/>
              </w:rPr>
              <w:t>Treść uwagi</w:t>
            </w:r>
          </w:p>
        </w:tc>
        <w:tc>
          <w:tcPr>
            <w:tcW w:w="2855" w:type="dxa"/>
            <w:shd w:val="clear" w:color="auto" w:fill="FFFFFF" w:themeFill="background1"/>
          </w:tcPr>
          <w:p w14:paraId="07BC6F83" w14:textId="77777777" w:rsidR="004F77F6" w:rsidRPr="001941B0" w:rsidRDefault="004F77F6" w:rsidP="006E0CB2">
            <w:pPr>
              <w:autoSpaceDE w:val="0"/>
              <w:autoSpaceDN w:val="0"/>
              <w:adjustRightInd w:val="0"/>
              <w:spacing w:after="0" w:line="240" w:lineRule="auto"/>
              <w:jc w:val="center"/>
              <w:rPr>
                <w:rFonts w:eastAsia="Times New Roman" w:cstheme="minorHAnsi"/>
                <w:sz w:val="20"/>
                <w:szCs w:val="20"/>
                <w:lang w:eastAsia="pl-PL"/>
              </w:rPr>
            </w:pPr>
            <w:r w:rsidRPr="001941B0">
              <w:rPr>
                <w:rFonts w:eastAsia="Times New Roman" w:cstheme="minorHAnsi"/>
                <w:sz w:val="20"/>
                <w:szCs w:val="20"/>
                <w:lang w:eastAsia="pl-PL"/>
              </w:rPr>
              <w:t>Stanowisko MZ</w:t>
            </w:r>
          </w:p>
        </w:tc>
      </w:tr>
      <w:tr w:rsidR="00952A06" w:rsidRPr="001941B0" w14:paraId="7DFCDF2B" w14:textId="77777777" w:rsidTr="00DE7BB4">
        <w:tc>
          <w:tcPr>
            <w:tcW w:w="14316" w:type="dxa"/>
            <w:gridSpan w:val="5"/>
            <w:shd w:val="clear" w:color="auto" w:fill="D1D1D1" w:themeFill="background2" w:themeFillShade="E6"/>
          </w:tcPr>
          <w:p w14:paraId="707CC776" w14:textId="1241DD11" w:rsidR="008A70F5" w:rsidRPr="001941B0" w:rsidRDefault="00E56DBA" w:rsidP="00B0529F">
            <w:pPr>
              <w:spacing w:after="0" w:line="240" w:lineRule="auto"/>
              <w:rPr>
                <w:b/>
                <w:sz w:val="20"/>
                <w:szCs w:val="20"/>
              </w:rPr>
            </w:pPr>
            <w:bookmarkStart w:id="0" w:name="Uwagi_ogólne"/>
            <w:r w:rsidRPr="001941B0">
              <w:rPr>
                <w:b/>
                <w:sz w:val="20"/>
                <w:szCs w:val="20"/>
              </w:rPr>
              <w:t>UWAGI OGÓLNE</w:t>
            </w:r>
            <w:bookmarkEnd w:id="0"/>
          </w:p>
        </w:tc>
      </w:tr>
      <w:tr w:rsidR="00FC7212" w:rsidRPr="001941B0" w14:paraId="1F81D75B" w14:textId="77777777" w:rsidTr="7139DBB9">
        <w:tc>
          <w:tcPr>
            <w:tcW w:w="1125" w:type="dxa"/>
            <w:shd w:val="clear" w:color="auto" w:fill="FFFFFF" w:themeFill="background1"/>
          </w:tcPr>
          <w:p w14:paraId="1DD801CD"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2C9C67B" w14:textId="41924908" w:rsidR="007A516A" w:rsidRPr="001941B0" w:rsidRDefault="007A516A" w:rsidP="006E0CB2">
            <w:pPr>
              <w:autoSpaceDE w:val="0"/>
              <w:autoSpaceDN w:val="0"/>
              <w:adjustRightInd w:val="0"/>
              <w:spacing w:after="0" w:line="240" w:lineRule="auto"/>
              <w:rPr>
                <w:rFonts w:cs="Calibri"/>
                <w:bCs/>
                <w:sz w:val="20"/>
                <w:szCs w:val="20"/>
              </w:rPr>
            </w:pPr>
            <w:r w:rsidRPr="001941B0">
              <w:rPr>
                <w:rFonts w:cs="Calibri"/>
                <w:bCs/>
                <w:sz w:val="20"/>
                <w:szCs w:val="20"/>
              </w:rPr>
              <w:t>Fundacja Zdrowie i Edukacja Ad Meritum</w:t>
            </w:r>
          </w:p>
        </w:tc>
        <w:tc>
          <w:tcPr>
            <w:tcW w:w="1949" w:type="dxa"/>
            <w:shd w:val="clear" w:color="auto" w:fill="FFFFFF" w:themeFill="background1"/>
          </w:tcPr>
          <w:p w14:paraId="11D00838" w14:textId="774DA3BF" w:rsidR="007A516A" w:rsidRPr="001941B0" w:rsidRDefault="007A516A" w:rsidP="006E0CB2">
            <w:pPr>
              <w:autoSpaceDE w:val="0"/>
              <w:autoSpaceDN w:val="0"/>
              <w:adjustRightInd w:val="0"/>
              <w:spacing w:after="0" w:line="240" w:lineRule="auto"/>
              <w:rPr>
                <w:rFonts w:cs="Calibri"/>
                <w:sz w:val="20"/>
                <w:szCs w:val="20"/>
              </w:rPr>
            </w:pPr>
            <w:r w:rsidRPr="001941B0">
              <w:rPr>
                <w:rFonts w:cs="Calibri"/>
                <w:sz w:val="20"/>
                <w:szCs w:val="20"/>
              </w:rPr>
              <w:t>Uwaga ogólna</w:t>
            </w:r>
          </w:p>
        </w:tc>
        <w:tc>
          <w:tcPr>
            <w:tcW w:w="5652" w:type="dxa"/>
            <w:shd w:val="clear" w:color="auto" w:fill="FFFFFF" w:themeFill="background1"/>
          </w:tcPr>
          <w:p w14:paraId="74D81446" w14:textId="788FCBA5" w:rsidR="007A516A" w:rsidRPr="001941B0" w:rsidRDefault="007A516A" w:rsidP="006E0CB2">
            <w:pPr>
              <w:autoSpaceDE w:val="0"/>
              <w:autoSpaceDN w:val="0"/>
              <w:adjustRightInd w:val="0"/>
              <w:spacing w:after="0" w:line="240" w:lineRule="auto"/>
              <w:rPr>
                <w:rFonts w:cs="Calibri"/>
                <w:sz w:val="20"/>
                <w:szCs w:val="20"/>
              </w:rPr>
            </w:pPr>
            <w:r w:rsidRPr="001941B0">
              <w:rPr>
                <w:rFonts w:cs="Calibri"/>
                <w:sz w:val="20"/>
                <w:szCs w:val="20"/>
              </w:rPr>
              <w:t>Uwzględnienie dostępu do danych i transferu danych wynikających z leczenia sanatoryjnego.</w:t>
            </w:r>
          </w:p>
        </w:tc>
        <w:tc>
          <w:tcPr>
            <w:tcW w:w="2855" w:type="dxa"/>
            <w:shd w:val="clear" w:color="auto" w:fill="FFFFFF" w:themeFill="background1"/>
          </w:tcPr>
          <w:p w14:paraId="15331EB8" w14:textId="1F9FF493" w:rsidR="007A516A" w:rsidRPr="001941B0" w:rsidRDefault="50D3A290" w:rsidP="384C731A">
            <w:pPr>
              <w:autoSpaceDE w:val="0"/>
              <w:autoSpaceDN w:val="0"/>
              <w:adjustRightInd w:val="0"/>
              <w:spacing w:after="0" w:line="240" w:lineRule="auto"/>
              <w:rPr>
                <w:b/>
                <w:bCs/>
                <w:sz w:val="20"/>
                <w:szCs w:val="20"/>
              </w:rPr>
            </w:pPr>
            <w:r w:rsidRPr="001941B0">
              <w:rPr>
                <w:b/>
                <w:bCs/>
                <w:sz w:val="20"/>
                <w:szCs w:val="20"/>
              </w:rPr>
              <w:t>Uwaga</w:t>
            </w:r>
            <w:r w:rsidR="5EACCC24" w:rsidRPr="001941B0">
              <w:rPr>
                <w:b/>
                <w:bCs/>
                <w:sz w:val="20"/>
                <w:szCs w:val="20"/>
              </w:rPr>
              <w:t xml:space="preserve"> </w:t>
            </w:r>
            <w:r w:rsidR="272BD64D" w:rsidRPr="001941B0">
              <w:rPr>
                <w:b/>
                <w:bCs/>
                <w:sz w:val="20"/>
                <w:szCs w:val="20"/>
              </w:rPr>
              <w:t>nieuwzględniona</w:t>
            </w:r>
          </w:p>
          <w:p w14:paraId="208EC0A9" w14:textId="47FD30A1" w:rsidR="007A516A" w:rsidRPr="001941B0" w:rsidRDefault="5CFFACAA" w:rsidP="006E0CB2">
            <w:pPr>
              <w:autoSpaceDE w:val="0"/>
              <w:autoSpaceDN w:val="0"/>
              <w:adjustRightInd w:val="0"/>
              <w:spacing w:after="0" w:line="240" w:lineRule="auto"/>
              <w:rPr>
                <w:rFonts w:ascii="Aptos" w:eastAsia="Aptos" w:hAnsi="Aptos" w:cs="Aptos"/>
                <w:sz w:val="20"/>
                <w:szCs w:val="20"/>
              </w:rPr>
            </w:pPr>
            <w:r w:rsidRPr="001941B0">
              <w:rPr>
                <w:sz w:val="20"/>
                <w:szCs w:val="20"/>
              </w:rPr>
              <w:t>P</w:t>
            </w:r>
            <w:r w:rsidR="32AC2747" w:rsidRPr="001941B0">
              <w:rPr>
                <w:sz w:val="20"/>
                <w:szCs w:val="20"/>
              </w:rPr>
              <w:t xml:space="preserve">oza zakresem </w:t>
            </w:r>
            <w:r w:rsidR="3A469413" w:rsidRPr="001941B0">
              <w:rPr>
                <w:sz w:val="20"/>
                <w:szCs w:val="20"/>
              </w:rPr>
              <w:t>projektowanej regulacji</w:t>
            </w:r>
            <w:r w:rsidR="00FB22E1" w:rsidRPr="001941B0">
              <w:rPr>
                <w:rFonts w:ascii="Segoe UI" w:eastAsia="Segoe UI" w:hAnsi="Segoe UI" w:cs="Segoe UI"/>
                <w:color w:val="333333"/>
                <w:sz w:val="18"/>
                <w:szCs w:val="18"/>
              </w:rPr>
              <w:t>.</w:t>
            </w:r>
          </w:p>
        </w:tc>
      </w:tr>
      <w:tr w:rsidR="00FC7212" w:rsidRPr="001941B0" w14:paraId="72ED89FB" w14:textId="77777777" w:rsidTr="7139DBB9">
        <w:tc>
          <w:tcPr>
            <w:tcW w:w="1125" w:type="dxa"/>
            <w:shd w:val="clear" w:color="auto" w:fill="FFFFFF" w:themeFill="background1"/>
          </w:tcPr>
          <w:p w14:paraId="04E137B7"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F231483" w14:textId="59B50057" w:rsidR="007A516A" w:rsidRPr="001941B0" w:rsidRDefault="007A516A" w:rsidP="006E0CB2">
            <w:pPr>
              <w:autoSpaceDE w:val="0"/>
              <w:autoSpaceDN w:val="0"/>
              <w:adjustRightInd w:val="0"/>
              <w:spacing w:after="0" w:line="240" w:lineRule="auto"/>
              <w:rPr>
                <w:rFonts w:cs="Calibri"/>
                <w:bCs/>
                <w:sz w:val="20"/>
                <w:szCs w:val="20"/>
              </w:rPr>
            </w:pPr>
            <w:r w:rsidRPr="001941B0">
              <w:rPr>
                <w:rFonts w:cs="Calibri"/>
                <w:bCs/>
                <w:sz w:val="20"/>
                <w:szCs w:val="20"/>
              </w:rPr>
              <w:t>Fundacja Zdrowie i Edukacja Ad Meritum</w:t>
            </w:r>
          </w:p>
        </w:tc>
        <w:tc>
          <w:tcPr>
            <w:tcW w:w="1949" w:type="dxa"/>
            <w:shd w:val="clear" w:color="auto" w:fill="FFFFFF" w:themeFill="background1"/>
          </w:tcPr>
          <w:p w14:paraId="0FD6C5CD" w14:textId="0FDAF0B6" w:rsidR="007A516A" w:rsidRPr="001941B0" w:rsidRDefault="007A516A" w:rsidP="006E0CB2">
            <w:pPr>
              <w:autoSpaceDE w:val="0"/>
              <w:autoSpaceDN w:val="0"/>
              <w:adjustRightInd w:val="0"/>
              <w:spacing w:after="0" w:line="240" w:lineRule="auto"/>
              <w:rPr>
                <w:rFonts w:cs="Calibri"/>
                <w:sz w:val="20"/>
                <w:szCs w:val="20"/>
              </w:rPr>
            </w:pPr>
            <w:r w:rsidRPr="001941B0">
              <w:rPr>
                <w:rFonts w:cs="Calibri"/>
                <w:sz w:val="20"/>
                <w:szCs w:val="20"/>
              </w:rPr>
              <w:t>Uwaga ogólna</w:t>
            </w:r>
          </w:p>
        </w:tc>
        <w:tc>
          <w:tcPr>
            <w:tcW w:w="5652" w:type="dxa"/>
            <w:shd w:val="clear" w:color="auto" w:fill="FFFFFF" w:themeFill="background1"/>
          </w:tcPr>
          <w:p w14:paraId="3D6F05A4" w14:textId="5D512732" w:rsidR="007A516A" w:rsidRPr="001941B0" w:rsidRDefault="007A516A" w:rsidP="006E0CB2">
            <w:pPr>
              <w:autoSpaceDE w:val="0"/>
              <w:autoSpaceDN w:val="0"/>
              <w:adjustRightInd w:val="0"/>
              <w:spacing w:after="0" w:line="240" w:lineRule="auto"/>
              <w:rPr>
                <w:rFonts w:cs="Calibri"/>
                <w:sz w:val="20"/>
                <w:szCs w:val="20"/>
              </w:rPr>
            </w:pPr>
            <w:r w:rsidRPr="001941B0">
              <w:rPr>
                <w:rFonts w:cs="Calibri"/>
                <w:sz w:val="20"/>
                <w:szCs w:val="20"/>
              </w:rPr>
              <w:t>Uwzględnienie dostępu do danych w czasie leczenia czy hospitalizacją poza UE.</w:t>
            </w:r>
          </w:p>
        </w:tc>
        <w:tc>
          <w:tcPr>
            <w:tcW w:w="2855" w:type="dxa"/>
            <w:shd w:val="clear" w:color="auto" w:fill="FFFFFF" w:themeFill="background1"/>
          </w:tcPr>
          <w:p w14:paraId="5FE831C9" w14:textId="56766878" w:rsidR="007A516A" w:rsidRPr="001941B0" w:rsidRDefault="35A6B74F" w:rsidP="006E0CB2">
            <w:pPr>
              <w:autoSpaceDE w:val="0"/>
              <w:autoSpaceDN w:val="0"/>
              <w:adjustRightInd w:val="0"/>
              <w:spacing w:after="0" w:line="240" w:lineRule="auto"/>
              <w:rPr>
                <w:b/>
                <w:sz w:val="20"/>
                <w:szCs w:val="20"/>
              </w:rPr>
            </w:pPr>
            <w:r w:rsidRPr="001941B0">
              <w:rPr>
                <w:b/>
                <w:sz w:val="20"/>
                <w:szCs w:val="20"/>
              </w:rPr>
              <w:t>Uwaga nieuwzględniona</w:t>
            </w:r>
          </w:p>
          <w:p w14:paraId="673838F2" w14:textId="7DE14E23" w:rsidR="007A516A" w:rsidRPr="001941B0" w:rsidRDefault="35A6B74F" w:rsidP="006E0CB2">
            <w:pPr>
              <w:autoSpaceDE w:val="0"/>
              <w:autoSpaceDN w:val="0"/>
              <w:adjustRightInd w:val="0"/>
              <w:spacing w:after="0" w:line="240" w:lineRule="auto"/>
              <w:rPr>
                <w:sz w:val="20"/>
                <w:szCs w:val="20"/>
              </w:rPr>
            </w:pPr>
            <w:r w:rsidRPr="001941B0">
              <w:rPr>
                <w:sz w:val="20"/>
                <w:szCs w:val="20"/>
              </w:rPr>
              <w:t>Poza zakresem projektowanej regulacji</w:t>
            </w:r>
            <w:r w:rsidR="29C277BE" w:rsidRPr="001941B0">
              <w:rPr>
                <w:sz w:val="20"/>
                <w:szCs w:val="20"/>
              </w:rPr>
              <w:t>.</w:t>
            </w:r>
          </w:p>
        </w:tc>
      </w:tr>
      <w:tr w:rsidR="00FC7212" w:rsidRPr="001941B0" w14:paraId="2120DA60" w14:textId="77777777" w:rsidTr="7139DBB9">
        <w:tc>
          <w:tcPr>
            <w:tcW w:w="1125" w:type="dxa"/>
            <w:shd w:val="clear" w:color="auto" w:fill="FFFFFF" w:themeFill="background1"/>
          </w:tcPr>
          <w:p w14:paraId="38A543CC" w14:textId="77777777" w:rsidR="00A35E58" w:rsidRPr="001941B0" w:rsidRDefault="00A35E5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726BF5A" w14:textId="429FA002" w:rsidR="00A35E58" w:rsidRPr="001941B0" w:rsidRDefault="00A35E58" w:rsidP="006E0CB2">
            <w:pPr>
              <w:autoSpaceDE w:val="0"/>
              <w:autoSpaceDN w:val="0"/>
              <w:adjustRightInd w:val="0"/>
              <w:spacing w:after="0" w:line="240" w:lineRule="auto"/>
              <w:rPr>
                <w:rFonts w:cs="Calibri"/>
                <w:bCs/>
                <w:sz w:val="20"/>
                <w:szCs w:val="20"/>
              </w:rPr>
            </w:pPr>
            <w:r w:rsidRPr="001941B0">
              <w:rPr>
                <w:rFonts w:cs="Calibri"/>
                <w:bCs/>
                <w:iCs/>
                <w:sz w:val="20"/>
                <w:szCs w:val="20"/>
              </w:rPr>
              <w:t>Konsultant Krajowy w dziedzinie Kardiologii</w:t>
            </w:r>
          </w:p>
        </w:tc>
        <w:tc>
          <w:tcPr>
            <w:tcW w:w="1949" w:type="dxa"/>
            <w:shd w:val="clear" w:color="auto" w:fill="FFFFFF" w:themeFill="background1"/>
          </w:tcPr>
          <w:p w14:paraId="6487BC28" w14:textId="720EEE70" w:rsidR="00A35E58" w:rsidRPr="001941B0" w:rsidRDefault="00872846" w:rsidP="006E0CB2">
            <w:pPr>
              <w:autoSpaceDE w:val="0"/>
              <w:autoSpaceDN w:val="0"/>
              <w:adjustRightInd w:val="0"/>
              <w:spacing w:after="0" w:line="240" w:lineRule="auto"/>
              <w:rPr>
                <w:rFonts w:cs="Calibri"/>
                <w:sz w:val="20"/>
                <w:szCs w:val="20"/>
              </w:rPr>
            </w:pPr>
            <w:r w:rsidRPr="001941B0">
              <w:rPr>
                <w:rFonts w:cs="Calibri"/>
                <w:sz w:val="20"/>
                <w:szCs w:val="20"/>
              </w:rPr>
              <w:t>Uwaga ogólna</w:t>
            </w:r>
          </w:p>
        </w:tc>
        <w:tc>
          <w:tcPr>
            <w:tcW w:w="5652" w:type="dxa"/>
            <w:shd w:val="clear" w:color="auto" w:fill="FFFFFF" w:themeFill="background1"/>
          </w:tcPr>
          <w:p w14:paraId="07286BCA" w14:textId="77777777" w:rsidR="00A35E58" w:rsidRPr="001941B0" w:rsidRDefault="00A35E58" w:rsidP="006E0CB2">
            <w:pPr>
              <w:autoSpaceDE w:val="0"/>
              <w:autoSpaceDN w:val="0"/>
              <w:adjustRightInd w:val="0"/>
              <w:spacing w:after="0" w:line="240" w:lineRule="auto"/>
              <w:rPr>
                <w:rFonts w:cs="Calibri"/>
                <w:sz w:val="20"/>
                <w:szCs w:val="20"/>
              </w:rPr>
            </w:pPr>
            <w:r w:rsidRPr="001941B0">
              <w:rPr>
                <w:rFonts w:cs="Calibri"/>
                <w:sz w:val="20"/>
                <w:szCs w:val="20"/>
              </w:rPr>
              <w:t>Niespójność terminologiczna („skrócona karta zdrowia pacjenta” vs „karta pacjenta”) w OSR względem projektu/uzasadnienia.</w:t>
            </w:r>
          </w:p>
          <w:p w14:paraId="34BBD876" w14:textId="77777777" w:rsidR="00A35E58" w:rsidRPr="001941B0" w:rsidRDefault="00A35E58" w:rsidP="006E0CB2">
            <w:pPr>
              <w:autoSpaceDE w:val="0"/>
              <w:autoSpaceDN w:val="0"/>
              <w:adjustRightInd w:val="0"/>
              <w:spacing w:after="0" w:line="240" w:lineRule="auto"/>
              <w:rPr>
                <w:rFonts w:cs="Calibri"/>
                <w:sz w:val="20"/>
                <w:szCs w:val="20"/>
              </w:rPr>
            </w:pPr>
            <w:r w:rsidRPr="001941B0">
              <w:rPr>
                <w:rFonts w:cs="Calibri"/>
                <w:sz w:val="20"/>
                <w:szCs w:val="20"/>
              </w:rPr>
              <w:t>Uzasadnienie uwagi:</w:t>
            </w:r>
          </w:p>
          <w:p w14:paraId="256BE390" w14:textId="77777777" w:rsidR="00A35E58" w:rsidRPr="001941B0" w:rsidRDefault="00A35E58" w:rsidP="006E0CB2">
            <w:pPr>
              <w:autoSpaceDE w:val="0"/>
              <w:autoSpaceDN w:val="0"/>
              <w:adjustRightInd w:val="0"/>
              <w:spacing w:after="0" w:line="240" w:lineRule="auto"/>
              <w:rPr>
                <w:rFonts w:cs="Calibri"/>
                <w:sz w:val="20"/>
                <w:szCs w:val="20"/>
              </w:rPr>
            </w:pPr>
            <w:r w:rsidRPr="001941B0">
              <w:rPr>
                <w:rFonts w:cs="Calibri"/>
                <w:sz w:val="20"/>
                <w:szCs w:val="20"/>
              </w:rPr>
              <w:t>Ryzyko błędnej implementacji IT i interpretacji klinicznej; w kardiologii (stany nagłe zagrożenia życia, leki ratujące życie) może to prowadzić do mylenia dokumentów oraz opóźnień we wdrożeniu/utrzymaniu spójności danych.</w:t>
            </w:r>
          </w:p>
          <w:p w14:paraId="3705C3BC" w14:textId="4E360CBD" w:rsidR="00A35E58" w:rsidRPr="001941B0" w:rsidRDefault="00A35E58" w:rsidP="006E0CB2">
            <w:pPr>
              <w:autoSpaceDE w:val="0"/>
              <w:autoSpaceDN w:val="0"/>
              <w:adjustRightInd w:val="0"/>
              <w:spacing w:after="0" w:line="240" w:lineRule="auto"/>
              <w:rPr>
                <w:rFonts w:cs="Calibri"/>
                <w:sz w:val="20"/>
                <w:szCs w:val="20"/>
              </w:rPr>
            </w:pPr>
            <w:r w:rsidRPr="001941B0">
              <w:rPr>
                <w:rFonts w:cs="Calibri"/>
                <w:sz w:val="20"/>
                <w:szCs w:val="20"/>
              </w:rPr>
              <w:t>Propozycje rozwiązań:</w:t>
            </w:r>
            <w:r w:rsidR="00C21942" w:rsidRPr="001941B0">
              <w:rPr>
                <w:rFonts w:cs="Calibri"/>
                <w:sz w:val="20"/>
                <w:szCs w:val="20"/>
              </w:rPr>
              <w:t xml:space="preserve"> </w:t>
            </w:r>
          </w:p>
          <w:p w14:paraId="464A29EA" w14:textId="7332D484" w:rsidR="00A35E58" w:rsidRPr="001941B0" w:rsidRDefault="00A35E58" w:rsidP="006E0CB2">
            <w:pPr>
              <w:autoSpaceDE w:val="0"/>
              <w:autoSpaceDN w:val="0"/>
              <w:adjustRightInd w:val="0"/>
              <w:spacing w:after="0" w:line="240" w:lineRule="auto"/>
              <w:rPr>
                <w:rFonts w:cs="Calibri"/>
                <w:sz w:val="20"/>
                <w:szCs w:val="20"/>
              </w:rPr>
            </w:pPr>
            <w:r w:rsidRPr="001941B0">
              <w:rPr>
                <w:rFonts w:cs="Calibri"/>
                <w:sz w:val="20"/>
                <w:szCs w:val="20"/>
              </w:rPr>
              <w:lastRenderedPageBreak/>
              <w:t>Ujednolicić nazewnictwo w całym pakiecie dokumentów: jedna nazwa ustawowa + ewentualny synonim w nawiasie; spójnie w OSR, uzasadnieniu i projekcie.</w:t>
            </w:r>
          </w:p>
        </w:tc>
        <w:tc>
          <w:tcPr>
            <w:tcW w:w="2855" w:type="dxa"/>
            <w:shd w:val="clear" w:color="auto" w:fill="FFFFFF" w:themeFill="background1"/>
          </w:tcPr>
          <w:p w14:paraId="75329CDC" w14:textId="6535DBF3" w:rsidR="00A35E58" w:rsidRPr="001941B0" w:rsidRDefault="00A35E58" w:rsidP="006E0CB2">
            <w:pPr>
              <w:spacing w:after="0" w:line="240" w:lineRule="auto"/>
              <w:rPr>
                <w:sz w:val="20"/>
                <w:szCs w:val="20"/>
              </w:rPr>
            </w:pPr>
            <w:r w:rsidRPr="001941B0">
              <w:rPr>
                <w:b/>
                <w:sz w:val="20"/>
                <w:szCs w:val="20"/>
              </w:rPr>
              <w:lastRenderedPageBreak/>
              <w:t>Uwaga uwzględniona</w:t>
            </w:r>
          </w:p>
          <w:p w14:paraId="1CEAC2F7" w14:textId="77777777" w:rsidR="00A605DC" w:rsidRPr="001941B0" w:rsidRDefault="00A605DC" w:rsidP="006E0CB2">
            <w:pPr>
              <w:spacing w:after="0" w:line="240" w:lineRule="auto"/>
              <w:rPr>
                <w:sz w:val="20"/>
                <w:szCs w:val="20"/>
              </w:rPr>
            </w:pPr>
          </w:p>
          <w:p w14:paraId="2636D89E" w14:textId="00057835" w:rsidR="00A35E58" w:rsidRPr="001941B0" w:rsidRDefault="00A35E58" w:rsidP="006E0CB2">
            <w:pPr>
              <w:spacing w:after="0" w:line="240" w:lineRule="auto"/>
              <w:rPr>
                <w:sz w:val="20"/>
                <w:szCs w:val="20"/>
              </w:rPr>
            </w:pPr>
          </w:p>
        </w:tc>
      </w:tr>
      <w:tr w:rsidR="00FC7212" w:rsidRPr="001941B0" w14:paraId="623D395C" w14:textId="77777777" w:rsidTr="7139DBB9">
        <w:tc>
          <w:tcPr>
            <w:tcW w:w="1125" w:type="dxa"/>
            <w:shd w:val="clear" w:color="auto" w:fill="FFFFFF" w:themeFill="background1"/>
          </w:tcPr>
          <w:p w14:paraId="04665877" w14:textId="77777777" w:rsidR="00696B01" w:rsidRPr="001941B0" w:rsidRDefault="00696B0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55C7A8F" w14:textId="19FF85AA" w:rsidR="00696B01" w:rsidRPr="001941B0" w:rsidRDefault="00696B0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Ogólnopolska Izba Gospodarcza Wyrobów Medycznych POLMED</w:t>
            </w:r>
          </w:p>
        </w:tc>
        <w:tc>
          <w:tcPr>
            <w:tcW w:w="1949" w:type="dxa"/>
            <w:shd w:val="clear" w:color="auto" w:fill="FFFFFF" w:themeFill="background1"/>
          </w:tcPr>
          <w:p w14:paraId="27D6BC08" w14:textId="7BCDB36F" w:rsidR="00696B01" w:rsidRPr="001941B0" w:rsidRDefault="00696B01" w:rsidP="006E0CB2">
            <w:pPr>
              <w:autoSpaceDE w:val="0"/>
              <w:autoSpaceDN w:val="0"/>
              <w:adjustRightInd w:val="0"/>
              <w:spacing w:after="0" w:line="240" w:lineRule="auto"/>
              <w:rPr>
                <w:rFonts w:cs="Calibri"/>
                <w:sz w:val="20"/>
                <w:szCs w:val="20"/>
              </w:rPr>
            </w:pPr>
            <w:r w:rsidRPr="001941B0">
              <w:rPr>
                <w:rFonts w:cs="Calibri"/>
                <w:sz w:val="20"/>
                <w:szCs w:val="20"/>
              </w:rPr>
              <w:t>Uwaga ogólna</w:t>
            </w:r>
          </w:p>
        </w:tc>
        <w:tc>
          <w:tcPr>
            <w:tcW w:w="5652" w:type="dxa"/>
            <w:shd w:val="clear" w:color="auto" w:fill="FFFFFF" w:themeFill="background1"/>
          </w:tcPr>
          <w:p w14:paraId="4F39C066" w14:textId="77777777" w:rsidR="00696B01" w:rsidRPr="001941B0" w:rsidRDefault="00696B01" w:rsidP="006E0CB2">
            <w:pPr>
              <w:autoSpaceDE w:val="0"/>
              <w:autoSpaceDN w:val="0"/>
              <w:adjustRightInd w:val="0"/>
              <w:spacing w:after="0" w:line="240" w:lineRule="auto"/>
              <w:rPr>
                <w:rFonts w:cs="Calibri"/>
                <w:bCs/>
                <w:iCs/>
                <w:sz w:val="20"/>
                <w:szCs w:val="20"/>
              </w:rPr>
            </w:pPr>
            <w:r w:rsidRPr="001941B0">
              <w:rPr>
                <w:rFonts w:cs="Calibri"/>
                <w:bCs/>
                <w:iCs/>
                <w:sz w:val="20"/>
                <w:szCs w:val="20"/>
              </w:rPr>
              <w:t>Równocześnie, w związku z tym, że Projekt ustawy o zmianie niektórych ustaw w związku z rozwojem usług e-zdrowia obejmuje również zmiany w zakresie ustawy o świadczeniach opieki zdrowotnej finansowanych ze środków publicznych, Izba POLMED podtrzymuje składane w poprzednich latach propozycje zmian w zakresie art. 31 c Ustawy o świadczeniach opieki zdrowotnej finansowanych ze środków publicznych. Izba POLMED postuluje w tym zakresie o zmiany obligujące Prezesa Agencji do:</w:t>
            </w:r>
          </w:p>
          <w:p w14:paraId="7596E24B" w14:textId="77777777" w:rsidR="00696B01" w:rsidRPr="001941B0" w:rsidRDefault="00696B01" w:rsidP="006E0CB2">
            <w:pPr>
              <w:numPr>
                <w:ilvl w:val="0"/>
                <w:numId w:val="8"/>
              </w:numPr>
              <w:autoSpaceDE w:val="0"/>
              <w:autoSpaceDN w:val="0"/>
              <w:adjustRightInd w:val="0"/>
              <w:spacing w:after="0" w:line="240" w:lineRule="auto"/>
              <w:rPr>
                <w:rFonts w:cs="Calibri"/>
                <w:bCs/>
                <w:iCs/>
                <w:sz w:val="20"/>
                <w:szCs w:val="20"/>
              </w:rPr>
            </w:pPr>
            <w:r w:rsidRPr="001941B0">
              <w:rPr>
                <w:rFonts w:cs="Calibri"/>
                <w:bCs/>
                <w:iCs/>
                <w:sz w:val="20"/>
                <w:szCs w:val="20"/>
              </w:rPr>
              <w:t xml:space="preserve">opracowania rekomendacji dla danego świadczenia opieki zdrowotnej w sprawie jego zakwalifikowania jako świadczenia gwarantowanego, wraz z określeniem poziomu finansowania w określonym terminie, a następnie </w:t>
            </w:r>
          </w:p>
          <w:p w14:paraId="38743DE6" w14:textId="77777777" w:rsidR="00696B01" w:rsidRPr="001941B0" w:rsidRDefault="00696B01" w:rsidP="006E0CB2">
            <w:pPr>
              <w:numPr>
                <w:ilvl w:val="0"/>
                <w:numId w:val="8"/>
              </w:numPr>
              <w:autoSpaceDE w:val="0"/>
              <w:autoSpaceDN w:val="0"/>
              <w:adjustRightInd w:val="0"/>
              <w:spacing w:after="0" w:line="240" w:lineRule="auto"/>
              <w:rPr>
                <w:rFonts w:cs="Calibri"/>
                <w:bCs/>
                <w:iCs/>
                <w:sz w:val="20"/>
                <w:szCs w:val="20"/>
              </w:rPr>
            </w:pPr>
            <w:r w:rsidRPr="001941B0">
              <w:rPr>
                <w:rFonts w:cs="Calibri"/>
                <w:bCs/>
                <w:iCs/>
                <w:sz w:val="20"/>
                <w:szCs w:val="20"/>
              </w:rPr>
              <w:t xml:space="preserve">przekazania ministrowi właściwemu do spraw zdrowia oraz podmiotowi, który złożył wniosek w określonym terminie. </w:t>
            </w:r>
          </w:p>
          <w:p w14:paraId="5E7774B3" w14:textId="77777777" w:rsidR="00696B01" w:rsidRPr="001941B0" w:rsidRDefault="00696B01"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Zaproponowane przez Izbę zmiany mają na celu przede wszystkim udrożnienia ścieżki dostępu pacjentów do nowych świadczeń gwarantowanych – tak, aby skrócić okres pomiędzy pojawieniem się nowej technologii, a oceną zasadności jej finansowania przez organy publiczne, a zarazem ograniczyć ryzyko sytuacji, że konkretne wnioski nie zostałyby rozpoznane. </w:t>
            </w:r>
          </w:p>
          <w:p w14:paraId="73F850F3" w14:textId="5FD9FE65" w:rsidR="00696B01" w:rsidRPr="001941B0" w:rsidRDefault="4B0910F8" w:rsidP="006E0CB2">
            <w:pPr>
              <w:autoSpaceDE w:val="0"/>
              <w:autoSpaceDN w:val="0"/>
              <w:adjustRightInd w:val="0"/>
              <w:spacing w:after="0" w:line="240" w:lineRule="auto"/>
              <w:rPr>
                <w:rFonts w:cs="Calibri"/>
                <w:sz w:val="20"/>
                <w:szCs w:val="20"/>
              </w:rPr>
            </w:pPr>
            <w:r w:rsidRPr="001941B0">
              <w:rPr>
                <w:rFonts w:cs="Calibri"/>
                <w:sz w:val="20"/>
                <w:szCs w:val="20"/>
              </w:rPr>
              <w:t>W przypadku zainteresowania wskazanym tematem -Izba POLMED pozostaje gotowa do przedstawienia konkretnych propozycji w tym temacie.</w:t>
            </w:r>
            <w:r w:rsidR="32EAE163" w:rsidRPr="001941B0">
              <w:rPr>
                <w:rFonts w:cs="Calibri"/>
                <w:sz w:val="20"/>
                <w:szCs w:val="20"/>
              </w:rPr>
              <w:t xml:space="preserve"> </w:t>
            </w:r>
          </w:p>
        </w:tc>
        <w:tc>
          <w:tcPr>
            <w:tcW w:w="2855" w:type="dxa"/>
            <w:shd w:val="clear" w:color="auto" w:fill="FFFFFF" w:themeFill="background1"/>
          </w:tcPr>
          <w:p w14:paraId="4473C77C" w14:textId="7CE9FEE0" w:rsidR="00696B01" w:rsidRPr="001941B0" w:rsidRDefault="00696B01" w:rsidP="006E0CB2">
            <w:pPr>
              <w:autoSpaceDE w:val="0"/>
              <w:autoSpaceDN w:val="0"/>
              <w:adjustRightInd w:val="0"/>
              <w:spacing w:after="0" w:line="240" w:lineRule="auto"/>
              <w:rPr>
                <w:b/>
                <w:sz w:val="20"/>
                <w:szCs w:val="20"/>
              </w:rPr>
            </w:pPr>
            <w:r w:rsidRPr="001941B0">
              <w:rPr>
                <w:b/>
                <w:sz w:val="20"/>
                <w:szCs w:val="20"/>
              </w:rPr>
              <w:t>Uwaga nieuwzględniona</w:t>
            </w:r>
          </w:p>
          <w:p w14:paraId="18467683" w14:textId="73DA34F4" w:rsidR="00696B01" w:rsidRPr="001941B0" w:rsidRDefault="02821ADD" w:rsidP="006E0CB2">
            <w:pPr>
              <w:autoSpaceDE w:val="0"/>
              <w:autoSpaceDN w:val="0"/>
              <w:adjustRightInd w:val="0"/>
              <w:spacing w:after="0" w:line="240" w:lineRule="auto"/>
              <w:rPr>
                <w:sz w:val="20"/>
                <w:szCs w:val="20"/>
              </w:rPr>
            </w:pPr>
            <w:r w:rsidRPr="001941B0">
              <w:rPr>
                <w:sz w:val="20"/>
                <w:szCs w:val="20"/>
              </w:rPr>
              <w:t>Uwaga p</w:t>
            </w:r>
            <w:r w:rsidR="280B1FE8" w:rsidRPr="001941B0">
              <w:rPr>
                <w:sz w:val="20"/>
                <w:szCs w:val="20"/>
              </w:rPr>
              <w:t xml:space="preserve">oza zakresem </w:t>
            </w:r>
            <w:r w:rsidR="16733193" w:rsidRPr="001941B0">
              <w:rPr>
                <w:sz w:val="20"/>
                <w:szCs w:val="20"/>
              </w:rPr>
              <w:t xml:space="preserve">projektowanej </w:t>
            </w:r>
            <w:r w:rsidR="5BDF662F" w:rsidRPr="001941B0">
              <w:rPr>
                <w:sz w:val="20"/>
                <w:szCs w:val="20"/>
              </w:rPr>
              <w:t>regulacji</w:t>
            </w:r>
            <w:r w:rsidR="74C6E204" w:rsidRPr="001941B0">
              <w:rPr>
                <w:sz w:val="20"/>
                <w:szCs w:val="20"/>
              </w:rPr>
              <w:t>.</w:t>
            </w:r>
          </w:p>
        </w:tc>
      </w:tr>
      <w:tr w:rsidR="00FC7212" w:rsidRPr="001941B0" w14:paraId="73EEE1E1" w14:textId="77777777" w:rsidTr="7139DBB9">
        <w:tc>
          <w:tcPr>
            <w:tcW w:w="1125" w:type="dxa"/>
            <w:shd w:val="clear" w:color="auto" w:fill="FFFFFF" w:themeFill="background1"/>
          </w:tcPr>
          <w:p w14:paraId="61CE59FC"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45EF10A" w14:textId="46DED901" w:rsidR="007A516A" w:rsidRPr="001941B0" w:rsidRDefault="7567EDF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INFARMA</w:t>
            </w:r>
          </w:p>
        </w:tc>
        <w:tc>
          <w:tcPr>
            <w:tcW w:w="1949" w:type="dxa"/>
            <w:shd w:val="clear" w:color="auto" w:fill="FFFFFF" w:themeFill="background1"/>
          </w:tcPr>
          <w:p w14:paraId="0951D3F8" w14:textId="6E1968AC" w:rsidR="007A516A" w:rsidRPr="001941B0" w:rsidRDefault="7567EDF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50E25F4F" w14:textId="2FE0391D" w:rsidR="007A516A" w:rsidRPr="001941B0" w:rsidRDefault="7567EDF5" w:rsidP="006E0CB2">
            <w:pPr>
              <w:autoSpaceDE w:val="0"/>
              <w:autoSpaceDN w:val="0"/>
              <w:adjustRightInd w:val="0"/>
              <w:spacing w:after="0" w:line="240" w:lineRule="auto"/>
              <w:jc w:val="both"/>
              <w:rPr>
                <w:rFonts w:eastAsiaTheme="minorEastAsia"/>
                <w:sz w:val="20"/>
                <w:szCs w:val="20"/>
              </w:rPr>
            </w:pPr>
            <w:r w:rsidRPr="001941B0">
              <w:rPr>
                <w:rFonts w:eastAsiaTheme="minorEastAsia"/>
                <w:sz w:val="20"/>
                <w:szCs w:val="20"/>
              </w:rPr>
              <w:t xml:space="preserve">Jednocześnie chcielibyśmy podkreślić, że obok ram prawnych, o sukcesie projektowanych rozwiązań w praktyce przesądzi jakość wdrożenia i dopasowanie narzędzi do użytkowników, w tym do realnych procesów klinicznych, obiegu informacji, odpowiedzialności personelu oraz interoperacyjności z systemami wykorzystywanymi przez świadczeniodawców. W </w:t>
            </w:r>
            <w:r w:rsidRPr="001941B0">
              <w:rPr>
                <w:rFonts w:eastAsiaTheme="minorEastAsia"/>
                <w:sz w:val="20"/>
                <w:szCs w:val="20"/>
              </w:rPr>
              <w:lastRenderedPageBreak/>
              <w:t>publicznie komunikowanych przez Ministerstwo Zdrowia i Centrum e</w:t>
            </w:r>
            <w:r w:rsidRPr="001941B0">
              <w:rPr>
                <w:rFonts w:ascii="Cambria Math" w:eastAsiaTheme="minorEastAsia" w:hAnsi="Cambria Math" w:cs="Cambria Math"/>
                <w:sz w:val="20"/>
                <w:szCs w:val="20"/>
              </w:rPr>
              <w:t>‑</w:t>
            </w:r>
            <w:r w:rsidRPr="001941B0">
              <w:rPr>
                <w:rFonts w:eastAsiaTheme="minorEastAsia"/>
                <w:sz w:val="20"/>
                <w:szCs w:val="20"/>
              </w:rPr>
              <w:t>Zdrowia za</w:t>
            </w:r>
            <w:r w:rsidRPr="001941B0">
              <w:rPr>
                <w:rFonts w:eastAsiaTheme="minorEastAsia" w:cs="Aptos"/>
                <w:sz w:val="20"/>
                <w:szCs w:val="20"/>
              </w:rPr>
              <w:t>ł</w:t>
            </w:r>
            <w:r w:rsidRPr="001941B0">
              <w:rPr>
                <w:rFonts w:eastAsiaTheme="minorEastAsia"/>
                <w:sz w:val="20"/>
                <w:szCs w:val="20"/>
              </w:rPr>
              <w:t>o</w:t>
            </w:r>
            <w:r w:rsidRPr="001941B0">
              <w:rPr>
                <w:rFonts w:eastAsiaTheme="minorEastAsia" w:cs="Aptos"/>
                <w:sz w:val="20"/>
                <w:szCs w:val="20"/>
              </w:rPr>
              <w:t>ż</w:t>
            </w:r>
            <w:r w:rsidRPr="001941B0">
              <w:rPr>
                <w:rFonts w:eastAsiaTheme="minorEastAsia"/>
                <w:sz w:val="20"/>
                <w:szCs w:val="20"/>
              </w:rPr>
              <w:t>eniach wdro</w:t>
            </w:r>
            <w:r w:rsidRPr="001941B0">
              <w:rPr>
                <w:rFonts w:eastAsiaTheme="minorEastAsia" w:cs="Aptos"/>
                <w:sz w:val="20"/>
                <w:szCs w:val="20"/>
              </w:rPr>
              <w:t>ż</w:t>
            </w:r>
            <w:r w:rsidRPr="001941B0">
              <w:rPr>
                <w:rFonts w:eastAsiaTheme="minorEastAsia"/>
                <w:sz w:val="20"/>
                <w:szCs w:val="20"/>
              </w:rPr>
              <w:t>eniowych z czerwca 2025 r., relacjonowanych r</w:t>
            </w:r>
            <w:r w:rsidRPr="001941B0">
              <w:rPr>
                <w:rFonts w:eastAsiaTheme="minorEastAsia" w:cs="Aptos"/>
                <w:sz w:val="20"/>
                <w:szCs w:val="20"/>
              </w:rPr>
              <w:t>ó</w:t>
            </w:r>
            <w:r w:rsidRPr="001941B0">
              <w:rPr>
                <w:rFonts w:eastAsiaTheme="minorEastAsia"/>
                <w:sz w:val="20"/>
                <w:szCs w:val="20"/>
              </w:rPr>
              <w:t>wnie</w:t>
            </w:r>
            <w:r w:rsidRPr="001941B0">
              <w:rPr>
                <w:rFonts w:eastAsiaTheme="minorEastAsia" w:cs="Aptos"/>
                <w:sz w:val="20"/>
                <w:szCs w:val="20"/>
              </w:rPr>
              <w:t>ż</w:t>
            </w:r>
            <w:r w:rsidRPr="001941B0">
              <w:rPr>
                <w:rFonts w:eastAsiaTheme="minorEastAsia"/>
                <w:sz w:val="20"/>
                <w:szCs w:val="20"/>
              </w:rPr>
              <w:t xml:space="preserve"> w przekazach medialnych, wskazywano że w trakcie okresu szkoleniowego (pierwszych 16 miesięcy) może odbyć się łącznie ponad 270 tys. zdalnych konsultacji w ramach pięciu specjalizacji: kardiologii, onkologii, hematologii, chorób rzadkich oraz chorób płuc. Skala ta wzmacnia zasadność podejścia etapowego (pilotaże i iteracyjne doskonalenie),</w:t>
            </w:r>
            <w:r w:rsidR="370136BD" w:rsidRPr="001941B0">
              <w:rPr>
                <w:rFonts w:eastAsiaTheme="minorEastAsia"/>
                <w:sz w:val="20"/>
                <w:szCs w:val="20"/>
              </w:rPr>
              <w:t xml:space="preserve"> </w:t>
            </w:r>
            <w:r w:rsidRPr="001941B0">
              <w:rPr>
                <w:rFonts w:eastAsiaTheme="minorEastAsia"/>
                <w:sz w:val="20"/>
                <w:szCs w:val="20"/>
              </w:rPr>
              <w:t>a także potrzebę zapewnienia integracji, szkoleń, wsparcia użytkowników oraz mechanizmów monitorowania jakości działania i jakości danych.</w:t>
            </w:r>
          </w:p>
          <w:p w14:paraId="6B168065" w14:textId="1B65004C" w:rsidR="007A516A" w:rsidRPr="001941B0" w:rsidRDefault="007A516A" w:rsidP="006E0CB2">
            <w:pPr>
              <w:autoSpaceDE w:val="0"/>
              <w:autoSpaceDN w:val="0"/>
              <w:adjustRightInd w:val="0"/>
              <w:spacing w:after="0" w:line="240" w:lineRule="auto"/>
              <w:ind w:firstLine="426"/>
              <w:jc w:val="both"/>
              <w:rPr>
                <w:rFonts w:eastAsiaTheme="minorEastAsia"/>
                <w:sz w:val="20"/>
                <w:szCs w:val="20"/>
              </w:rPr>
            </w:pPr>
          </w:p>
          <w:p w14:paraId="233D8193" w14:textId="28903EC8" w:rsidR="007A516A" w:rsidRPr="001941B0" w:rsidRDefault="7567EDF5" w:rsidP="006E0CB2">
            <w:pPr>
              <w:autoSpaceDE w:val="0"/>
              <w:autoSpaceDN w:val="0"/>
              <w:adjustRightInd w:val="0"/>
              <w:spacing w:after="0" w:line="240" w:lineRule="auto"/>
              <w:jc w:val="both"/>
              <w:rPr>
                <w:rFonts w:eastAsiaTheme="minorEastAsia"/>
                <w:sz w:val="20"/>
                <w:szCs w:val="20"/>
              </w:rPr>
            </w:pPr>
            <w:r w:rsidRPr="001941B0">
              <w:rPr>
                <w:rFonts w:eastAsiaTheme="minorEastAsia"/>
                <w:sz w:val="20"/>
                <w:szCs w:val="20"/>
              </w:rPr>
              <w:t>Równolegle, istotne jest konsekwentne zabezpieczenie wymogów ochrony prywatności, cyberbezpieczeństwa oraz rozliczalności dostępu do danych, zwłaszcza w obszarach obejmujących dane pochodzące z wyrobów medycznych i aplikacji wspierających dobrostan (DOM) oraz rozwiązania przewidujące utrwalanie elementów konsultacji (e</w:t>
            </w:r>
            <w:r w:rsidRPr="001941B0">
              <w:rPr>
                <w:rFonts w:ascii="Cambria Math" w:eastAsiaTheme="minorEastAsia" w:hAnsi="Cambria Math" w:cs="Cambria Math"/>
                <w:sz w:val="20"/>
                <w:szCs w:val="20"/>
              </w:rPr>
              <w:t>‑</w:t>
            </w:r>
            <w:r w:rsidRPr="001941B0">
              <w:rPr>
                <w:rFonts w:eastAsiaTheme="minorEastAsia"/>
                <w:sz w:val="20"/>
                <w:szCs w:val="20"/>
              </w:rPr>
              <w:t>Konsylium). W naszej ocenie kluczowe b</w:t>
            </w:r>
            <w:r w:rsidRPr="001941B0">
              <w:rPr>
                <w:rFonts w:eastAsiaTheme="minorEastAsia" w:cs="Aptos"/>
                <w:sz w:val="20"/>
                <w:szCs w:val="20"/>
              </w:rPr>
              <w:t>ę</w:t>
            </w:r>
            <w:r w:rsidRPr="001941B0">
              <w:rPr>
                <w:rFonts w:eastAsiaTheme="minorEastAsia"/>
                <w:sz w:val="20"/>
                <w:szCs w:val="20"/>
              </w:rPr>
              <w:t>dzie, aby wymagania formalne przek</w:t>
            </w:r>
            <w:r w:rsidRPr="001941B0">
              <w:rPr>
                <w:rFonts w:eastAsiaTheme="minorEastAsia" w:cs="Aptos"/>
                <w:sz w:val="20"/>
                <w:szCs w:val="20"/>
              </w:rPr>
              <w:t>ł</w:t>
            </w:r>
            <w:r w:rsidRPr="001941B0">
              <w:rPr>
                <w:rFonts w:eastAsiaTheme="minorEastAsia"/>
                <w:sz w:val="20"/>
                <w:szCs w:val="20"/>
              </w:rPr>
              <w:t>ada</w:t>
            </w:r>
            <w:r w:rsidRPr="001941B0">
              <w:rPr>
                <w:rFonts w:eastAsiaTheme="minorEastAsia" w:cs="Aptos"/>
                <w:sz w:val="20"/>
                <w:szCs w:val="20"/>
              </w:rPr>
              <w:t>ł</w:t>
            </w:r>
            <w:r w:rsidRPr="001941B0">
              <w:rPr>
                <w:rFonts w:eastAsiaTheme="minorEastAsia"/>
                <w:sz w:val="20"/>
                <w:szCs w:val="20"/>
              </w:rPr>
              <w:t>y si</w:t>
            </w:r>
            <w:r w:rsidRPr="001941B0">
              <w:rPr>
                <w:rFonts w:eastAsiaTheme="minorEastAsia" w:cs="Aptos"/>
                <w:sz w:val="20"/>
                <w:szCs w:val="20"/>
              </w:rPr>
              <w:t>ę</w:t>
            </w:r>
            <w:r w:rsidRPr="001941B0">
              <w:rPr>
                <w:rFonts w:eastAsiaTheme="minorEastAsia"/>
                <w:sz w:val="20"/>
                <w:szCs w:val="20"/>
              </w:rPr>
              <w:t xml:space="preserve"> na praktyczne, jednolite standardy operacyjne, w tym kontrol</w:t>
            </w:r>
            <w:r w:rsidRPr="001941B0">
              <w:rPr>
                <w:rFonts w:eastAsiaTheme="minorEastAsia" w:cs="Aptos"/>
                <w:sz w:val="20"/>
                <w:szCs w:val="20"/>
              </w:rPr>
              <w:t>ę</w:t>
            </w:r>
            <w:r w:rsidRPr="001941B0">
              <w:rPr>
                <w:rFonts w:eastAsiaTheme="minorEastAsia"/>
                <w:sz w:val="20"/>
                <w:szCs w:val="20"/>
              </w:rPr>
              <w:t xml:space="preserve"> uprawnie</w:t>
            </w:r>
            <w:r w:rsidRPr="001941B0">
              <w:rPr>
                <w:rFonts w:eastAsiaTheme="minorEastAsia" w:cs="Aptos"/>
                <w:sz w:val="20"/>
                <w:szCs w:val="20"/>
              </w:rPr>
              <w:t>ń</w:t>
            </w:r>
            <w:r w:rsidRPr="001941B0">
              <w:rPr>
                <w:rFonts w:eastAsiaTheme="minorEastAsia"/>
                <w:sz w:val="20"/>
                <w:szCs w:val="20"/>
              </w:rPr>
              <w:t>, rejestrow</w:t>
            </w:r>
            <w:r w:rsidR="001526F0" w:rsidRPr="001941B0">
              <w:rPr>
                <w:rFonts w:eastAsiaTheme="minorEastAsia"/>
                <w:sz w:val="20"/>
                <w:szCs w:val="20"/>
              </w:rPr>
              <w:t>pkt</w:t>
            </w:r>
            <w:r w:rsidRPr="001941B0">
              <w:rPr>
                <w:rFonts w:eastAsiaTheme="minorEastAsia"/>
                <w:sz w:val="20"/>
                <w:szCs w:val="20"/>
              </w:rPr>
              <w:t>anie dostępu, minimalizację danych, testy bezpieczeństwa oraz jasne zasady retencji, budujące zaufanie pacjentów i personelu oraz ograniczające ryzyka wdrożeniowe.</w:t>
            </w:r>
          </w:p>
        </w:tc>
        <w:tc>
          <w:tcPr>
            <w:tcW w:w="2855" w:type="dxa"/>
            <w:shd w:val="clear" w:color="auto" w:fill="FFFFFF" w:themeFill="background1"/>
          </w:tcPr>
          <w:p w14:paraId="466EED87" w14:textId="77777777" w:rsidR="002F4208" w:rsidRPr="001941B0" w:rsidRDefault="00FB46D4"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Wyjaśnienia</w:t>
            </w:r>
          </w:p>
          <w:p w14:paraId="09A0ABE3" w14:textId="3C1A9B7D" w:rsidR="0075655D" w:rsidRPr="001941B0" w:rsidRDefault="002F420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System </w:t>
            </w:r>
            <w:r w:rsidR="00C549B1" w:rsidRPr="001941B0">
              <w:rPr>
                <w:rFonts w:eastAsiaTheme="minorEastAsia"/>
                <w:sz w:val="20"/>
                <w:szCs w:val="20"/>
              </w:rPr>
              <w:t xml:space="preserve">zgodnie z informacjami w uzasadnieniu w pierwszej kolejności </w:t>
            </w:r>
            <w:r w:rsidR="0023283B" w:rsidRPr="001941B0">
              <w:rPr>
                <w:rFonts w:eastAsiaTheme="minorEastAsia"/>
                <w:sz w:val="20"/>
                <w:szCs w:val="20"/>
              </w:rPr>
              <w:t>obejmie</w:t>
            </w:r>
            <w:r w:rsidR="00C549B1" w:rsidRPr="001941B0">
              <w:rPr>
                <w:rFonts w:eastAsiaTheme="minorEastAsia"/>
                <w:sz w:val="20"/>
                <w:szCs w:val="20"/>
              </w:rPr>
              <w:t xml:space="preserve"> </w:t>
            </w:r>
            <w:r w:rsidR="0023283B" w:rsidRPr="001941B0">
              <w:rPr>
                <w:rFonts w:eastAsiaTheme="minorEastAsia"/>
                <w:sz w:val="20"/>
                <w:szCs w:val="20"/>
              </w:rPr>
              <w:t>kardiologię</w:t>
            </w:r>
            <w:r w:rsidR="00C549B1" w:rsidRPr="001941B0">
              <w:rPr>
                <w:rFonts w:eastAsiaTheme="minorEastAsia"/>
                <w:sz w:val="20"/>
                <w:szCs w:val="20"/>
              </w:rPr>
              <w:t xml:space="preserve"> i onkologię, a następnie będzie </w:t>
            </w:r>
            <w:r w:rsidR="00C549B1" w:rsidRPr="001941B0">
              <w:rPr>
                <w:rFonts w:eastAsiaTheme="minorEastAsia"/>
                <w:sz w:val="20"/>
                <w:szCs w:val="20"/>
              </w:rPr>
              <w:lastRenderedPageBreak/>
              <w:t>stopniowo rozszerzany o kolejne specjalizacje</w:t>
            </w:r>
            <w:r w:rsidR="0023283B" w:rsidRPr="001941B0">
              <w:rPr>
                <w:rFonts w:eastAsiaTheme="minorEastAsia"/>
                <w:sz w:val="20"/>
                <w:szCs w:val="20"/>
              </w:rPr>
              <w:t>.</w:t>
            </w:r>
            <w:r w:rsidR="00846D69" w:rsidRPr="001941B0">
              <w:rPr>
                <w:rFonts w:eastAsiaTheme="minorEastAsia"/>
                <w:sz w:val="20"/>
                <w:szCs w:val="20"/>
              </w:rPr>
              <w:t xml:space="preserve"> </w:t>
            </w:r>
            <w:r w:rsidR="00C07D06" w:rsidRPr="001941B0">
              <w:rPr>
                <w:rFonts w:eastAsiaTheme="minorEastAsia"/>
                <w:sz w:val="20"/>
                <w:szCs w:val="20"/>
              </w:rPr>
              <w:t>Kwestia przechowywania została doprecyzowana, a zasady dostępu będą analogiczne do już istniejących zbiorów danych.</w:t>
            </w:r>
          </w:p>
        </w:tc>
      </w:tr>
      <w:tr w:rsidR="00FC7212" w:rsidRPr="001941B0" w14:paraId="75D46C54" w14:textId="77777777" w:rsidTr="7139DBB9">
        <w:trPr>
          <w:trHeight w:val="4455"/>
        </w:trPr>
        <w:tc>
          <w:tcPr>
            <w:tcW w:w="1125" w:type="dxa"/>
            <w:shd w:val="clear" w:color="auto" w:fill="FFFFFF" w:themeFill="background1"/>
          </w:tcPr>
          <w:p w14:paraId="2E5C5A58"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802A123" w14:textId="7067EA17" w:rsidR="007A516A" w:rsidRPr="001941B0" w:rsidRDefault="584DC84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Związek Cyfrowa Polska</w:t>
            </w:r>
          </w:p>
        </w:tc>
        <w:tc>
          <w:tcPr>
            <w:tcW w:w="1949" w:type="dxa"/>
            <w:shd w:val="clear" w:color="auto" w:fill="FFFFFF" w:themeFill="background1"/>
          </w:tcPr>
          <w:p w14:paraId="07EC73EA" w14:textId="2C67536E" w:rsidR="007A516A" w:rsidRPr="001941B0" w:rsidRDefault="584DC84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3BBAC60F" w14:textId="503C015C" w:rsidR="007A516A" w:rsidRPr="001941B0" w:rsidRDefault="584DC845" w:rsidP="006E0CB2">
            <w:pPr>
              <w:autoSpaceDE w:val="0"/>
              <w:autoSpaceDN w:val="0"/>
              <w:adjustRightInd w:val="0"/>
              <w:spacing w:after="0" w:line="240" w:lineRule="auto"/>
              <w:rPr>
                <w:rFonts w:eastAsiaTheme="minorEastAsia"/>
                <w:sz w:val="20"/>
                <w:szCs w:val="20"/>
              </w:rPr>
            </w:pPr>
            <w:r w:rsidRPr="001941B0">
              <w:rPr>
                <w:rFonts w:eastAsiaTheme="minorEastAsia"/>
                <w:b/>
                <w:color w:val="000000" w:themeColor="text1"/>
                <w:sz w:val="20"/>
                <w:szCs w:val="20"/>
              </w:rPr>
              <w:t>spójność z ramami UE i krajowymi w zakresie identyfikacji, usług zaufania i cyberbezpieczeństwa</w:t>
            </w:r>
          </w:p>
          <w:p w14:paraId="332485DB" w14:textId="10AFCDE6" w:rsidR="007A516A" w:rsidRPr="001941B0" w:rsidRDefault="584DC845" w:rsidP="006E0CB2">
            <w:pPr>
              <w:autoSpaceDE w:val="0"/>
              <w:autoSpaceDN w:val="0"/>
              <w:adjustRightInd w:val="0"/>
              <w:spacing w:after="0" w:line="240" w:lineRule="auto"/>
              <w:jc w:val="both"/>
              <w:rPr>
                <w:rFonts w:eastAsiaTheme="minorEastAsia"/>
                <w:color w:val="000000" w:themeColor="text1"/>
                <w:sz w:val="20"/>
                <w:szCs w:val="20"/>
              </w:rPr>
            </w:pPr>
            <w:r w:rsidRPr="001941B0">
              <w:rPr>
                <w:rFonts w:eastAsiaTheme="minorEastAsia"/>
                <w:color w:val="000000" w:themeColor="text1"/>
                <w:sz w:val="20"/>
                <w:szCs w:val="20"/>
              </w:rPr>
              <w:t>Projekt koncentruje się przede wszystkim na celach funkcjonalnych, natomiast w niewystarczającym stopniu uwzględnia obowiązujące i szybko rozwijające się ramy prawne dotyczące identyfikacji elektronicznej, usług zaufania i cyberbezpieczeństwa. W naszej ocenie brak wyraźnego osadzenia projektowanych mechanizmów w standardach UE i kierunkach krajowych grozi fragmentacją rozwiązań oraz obniżeniem poziomu bezpieczeństwa i interoperacyjności, w tym na poziomie transgranicznym.</w:t>
            </w:r>
          </w:p>
          <w:p w14:paraId="6EEE6C16" w14:textId="22D7E77A" w:rsidR="007A516A" w:rsidRPr="001941B0" w:rsidRDefault="584DC845" w:rsidP="006E0CB2">
            <w:pPr>
              <w:autoSpaceDE w:val="0"/>
              <w:autoSpaceDN w:val="0"/>
              <w:adjustRightInd w:val="0"/>
              <w:spacing w:after="0" w:line="240" w:lineRule="auto"/>
              <w:jc w:val="both"/>
              <w:rPr>
                <w:rFonts w:eastAsiaTheme="minorEastAsia"/>
                <w:color w:val="000000" w:themeColor="text1"/>
                <w:sz w:val="20"/>
                <w:szCs w:val="20"/>
              </w:rPr>
            </w:pPr>
            <w:r w:rsidRPr="001941B0">
              <w:rPr>
                <w:rFonts w:eastAsiaTheme="minorEastAsia"/>
                <w:color w:val="000000" w:themeColor="text1"/>
                <w:sz w:val="20"/>
                <w:szCs w:val="20"/>
              </w:rPr>
              <w:t>W szczególności wskazujemy na konieczność uwzględnienia (w uzasadnieniu, OSR i w projektowanych mechanizmach wykonawczych) co najmniej: dyrektywy NIS 2, ustawy o KSC, rozporządzenia eIDAS 2.0, RODO oraz spójności z rozwiązaniami rozwijanymi przez Ministerstwo Cyfryzacji.</w:t>
            </w:r>
          </w:p>
          <w:p w14:paraId="5EBED153" w14:textId="6BA9BB7C" w:rsidR="007A516A" w:rsidRPr="001941B0" w:rsidRDefault="584DC845" w:rsidP="799FFD03">
            <w:pPr>
              <w:autoSpaceDE w:val="0"/>
              <w:autoSpaceDN w:val="0"/>
              <w:adjustRightInd w:val="0"/>
              <w:spacing w:after="0" w:line="240" w:lineRule="auto"/>
              <w:jc w:val="both"/>
              <w:rPr>
                <w:rFonts w:eastAsiaTheme="minorEastAsia"/>
                <w:sz w:val="20"/>
                <w:szCs w:val="20"/>
              </w:rPr>
            </w:pPr>
            <w:r w:rsidRPr="001941B0">
              <w:rPr>
                <w:rFonts w:eastAsiaTheme="minorEastAsia"/>
                <w:sz w:val="20"/>
                <w:szCs w:val="20"/>
              </w:rPr>
              <w:t>W tym kontekście wnioskujemy o ponowne skierowanie projektu do konsultacji po uwzględnieniu wskazanych aktów prawnych i kierunków, tak aby zapewnić zgodność z procesami cyfryzacji w Polsce i UE.</w:t>
            </w:r>
          </w:p>
          <w:p w14:paraId="3AF8EB3C" w14:textId="502376FF" w:rsidR="007A516A" w:rsidRPr="001941B0" w:rsidRDefault="5C210A19" w:rsidP="006E0CB2">
            <w:pPr>
              <w:autoSpaceDE w:val="0"/>
              <w:autoSpaceDN w:val="0"/>
              <w:adjustRightInd w:val="0"/>
              <w:spacing w:after="0" w:line="240" w:lineRule="auto"/>
              <w:jc w:val="both"/>
              <w:rPr>
                <w:rFonts w:eastAsiaTheme="minorEastAsia"/>
                <w:b/>
                <w:bCs/>
                <w:color w:val="000000" w:themeColor="text1"/>
                <w:sz w:val="20"/>
                <w:szCs w:val="20"/>
              </w:rPr>
            </w:pPr>
            <w:r w:rsidRPr="001941B0">
              <w:rPr>
                <w:rFonts w:eastAsiaTheme="minorEastAsia"/>
                <w:b/>
                <w:bCs/>
                <w:color w:val="000000" w:themeColor="text1"/>
                <w:sz w:val="20"/>
                <w:szCs w:val="20"/>
              </w:rPr>
              <w:t>Warunki techniczne i bezpieczeństwa: porozumienie z ministrem ds. informatyzacji, analiza ryzyka, normy i standardy</w:t>
            </w:r>
          </w:p>
          <w:p w14:paraId="4B9369B6" w14:textId="56F4D36B" w:rsidR="007A516A" w:rsidRPr="001941B0" w:rsidRDefault="5C210A19" w:rsidP="006E0CB2">
            <w:pPr>
              <w:autoSpaceDE w:val="0"/>
              <w:autoSpaceDN w:val="0"/>
              <w:adjustRightInd w:val="0"/>
              <w:spacing w:after="0" w:line="240" w:lineRule="auto"/>
              <w:jc w:val="both"/>
              <w:rPr>
                <w:rFonts w:eastAsiaTheme="minorEastAsia"/>
                <w:color w:val="000000" w:themeColor="text1"/>
                <w:sz w:val="20"/>
                <w:szCs w:val="20"/>
              </w:rPr>
            </w:pPr>
            <w:r w:rsidRPr="001941B0">
              <w:rPr>
                <w:rFonts w:eastAsiaTheme="minorEastAsia"/>
                <w:color w:val="000000" w:themeColor="text1"/>
                <w:sz w:val="20"/>
                <w:szCs w:val="20"/>
              </w:rPr>
              <w:t>Rekomendujemy wprowadzenie przepisu zobowiązującego ministra właściwego do spraw zdrowia do określenia, w porozumieniu z ministrem właściwym ds. informatyzacji, warunków technicznych i bezpieczeństwa dla procesów, usług i narzędzi przeznaczonych do digitalizacji, z uwzględnieniem analizy ryzyka oraz wymagań norm i standardów.</w:t>
            </w:r>
          </w:p>
          <w:p w14:paraId="59C52AAD" w14:textId="4E9090C8" w:rsidR="007A516A" w:rsidRPr="001941B0" w:rsidRDefault="5C210A19" w:rsidP="006E0CB2">
            <w:pPr>
              <w:autoSpaceDE w:val="0"/>
              <w:autoSpaceDN w:val="0"/>
              <w:adjustRightInd w:val="0"/>
              <w:spacing w:after="0" w:line="240" w:lineRule="auto"/>
              <w:jc w:val="both"/>
              <w:rPr>
                <w:rFonts w:eastAsiaTheme="minorEastAsia"/>
                <w:sz w:val="20"/>
                <w:szCs w:val="20"/>
              </w:rPr>
            </w:pPr>
            <w:r w:rsidRPr="001941B0">
              <w:rPr>
                <w:rFonts w:eastAsiaTheme="minorEastAsia"/>
                <w:sz w:val="20"/>
                <w:szCs w:val="20"/>
              </w:rPr>
              <w:t>Taki mechanizm porządkuje wdrożenia, zwiększa bezpieczeństwo i ułatwia integrację z krajową architekturą cyfrową.</w:t>
            </w:r>
          </w:p>
          <w:p w14:paraId="12DE14D8" w14:textId="31288FCD" w:rsidR="007A516A" w:rsidRPr="001941B0" w:rsidRDefault="5C210A19" w:rsidP="006E0CB2">
            <w:pPr>
              <w:autoSpaceDE w:val="0"/>
              <w:autoSpaceDN w:val="0"/>
              <w:adjustRightInd w:val="0"/>
              <w:spacing w:after="0" w:line="240" w:lineRule="auto"/>
              <w:jc w:val="both"/>
              <w:rPr>
                <w:rFonts w:eastAsiaTheme="minorEastAsia"/>
                <w:b/>
                <w:bCs/>
                <w:color w:val="000000" w:themeColor="text1"/>
                <w:sz w:val="20"/>
                <w:szCs w:val="20"/>
              </w:rPr>
            </w:pPr>
            <w:r w:rsidRPr="001941B0">
              <w:rPr>
                <w:rFonts w:eastAsiaTheme="minorEastAsia"/>
                <w:b/>
                <w:bCs/>
                <w:color w:val="000000" w:themeColor="text1"/>
                <w:sz w:val="20"/>
                <w:szCs w:val="20"/>
              </w:rPr>
              <w:t>Dostępność cyfrowa: wymóg co najmniej na poziomie EN 301 549</w:t>
            </w:r>
          </w:p>
          <w:p w14:paraId="62A6D65B" w14:textId="00BA9E50" w:rsidR="007A516A" w:rsidRPr="001941B0" w:rsidRDefault="5C210A19" w:rsidP="006E0CB2">
            <w:pPr>
              <w:autoSpaceDE w:val="0"/>
              <w:autoSpaceDN w:val="0"/>
              <w:adjustRightInd w:val="0"/>
              <w:spacing w:after="0" w:line="240" w:lineRule="auto"/>
              <w:jc w:val="both"/>
              <w:rPr>
                <w:rFonts w:eastAsiaTheme="minorEastAsia"/>
                <w:color w:val="000000" w:themeColor="text1"/>
                <w:sz w:val="20"/>
                <w:szCs w:val="20"/>
              </w:rPr>
            </w:pPr>
            <w:r w:rsidRPr="001941B0">
              <w:rPr>
                <w:rFonts w:eastAsiaTheme="minorEastAsia"/>
                <w:color w:val="000000" w:themeColor="text1"/>
                <w:sz w:val="20"/>
                <w:szCs w:val="20"/>
              </w:rPr>
              <w:t xml:space="preserve">Wnioskujemy o wzmocnienie przepisów dotyczących dostępności cyfrowej systemów i usług, tak aby wymagania były spełnione co najmniej na poziomie zharmonizowanej </w:t>
            </w:r>
            <w:r w:rsidRPr="001941B0">
              <w:rPr>
                <w:rFonts w:eastAsiaTheme="minorEastAsia"/>
                <w:color w:val="000000" w:themeColor="text1"/>
                <w:sz w:val="20"/>
                <w:szCs w:val="20"/>
              </w:rPr>
              <w:lastRenderedPageBreak/>
              <w:t>normy EN 301 549, przy jednoczesnym odesłaniu do ustawy o zapewnianiu dostępności osobom ze szczególnymi potrzebami oraz ustawy o dostępności cyfrowej stron internetowych i aplikacji mobilnych podmiotów publicznych.</w:t>
            </w:r>
          </w:p>
          <w:p w14:paraId="15279454" w14:textId="09A294F0" w:rsidR="007A516A" w:rsidRPr="001941B0" w:rsidRDefault="5C210A19" w:rsidP="006E0CB2">
            <w:pPr>
              <w:autoSpaceDE w:val="0"/>
              <w:autoSpaceDN w:val="0"/>
              <w:adjustRightInd w:val="0"/>
              <w:spacing w:after="0" w:line="240" w:lineRule="auto"/>
              <w:jc w:val="both"/>
              <w:rPr>
                <w:rFonts w:eastAsiaTheme="minorEastAsia"/>
                <w:sz w:val="20"/>
                <w:szCs w:val="20"/>
              </w:rPr>
            </w:pPr>
            <w:r w:rsidRPr="001941B0">
              <w:rPr>
                <w:rFonts w:eastAsiaTheme="minorEastAsia"/>
                <w:sz w:val="20"/>
                <w:szCs w:val="20"/>
              </w:rPr>
              <w:t>W ochronie zdrowia jest to warunek praktycznej użyteczności usług dla wszystkich pacjentów, zwłaszcza osób starszych i z niepełnosprawnościami.</w:t>
            </w:r>
          </w:p>
        </w:tc>
        <w:tc>
          <w:tcPr>
            <w:tcW w:w="2855" w:type="dxa"/>
            <w:shd w:val="clear" w:color="auto" w:fill="FFFFFF" w:themeFill="background1"/>
          </w:tcPr>
          <w:p w14:paraId="7FD34A8D" w14:textId="4A0BA4EA" w:rsidR="0075655D" w:rsidRPr="001941B0" w:rsidRDefault="0075655D" w:rsidP="006E0CB2">
            <w:pPr>
              <w:autoSpaceDE w:val="0"/>
              <w:autoSpaceDN w:val="0"/>
              <w:adjustRightInd w:val="0"/>
              <w:spacing w:after="0" w:line="240" w:lineRule="auto"/>
              <w:rPr>
                <w:rFonts w:eastAsiaTheme="minorEastAsia"/>
                <w:b/>
                <w:sz w:val="20"/>
                <w:szCs w:val="20"/>
              </w:rPr>
            </w:pPr>
            <w:r w:rsidRPr="001941B0">
              <w:rPr>
                <w:rFonts w:eastAsiaTheme="minorEastAsia"/>
                <w:b/>
                <w:bCs/>
                <w:sz w:val="20"/>
                <w:szCs w:val="20"/>
              </w:rPr>
              <w:lastRenderedPageBreak/>
              <w:t>Wyjaśnieni</w:t>
            </w:r>
            <w:r w:rsidR="00EF7900" w:rsidRPr="001941B0">
              <w:rPr>
                <w:rFonts w:eastAsiaTheme="minorEastAsia"/>
                <w:b/>
                <w:bCs/>
                <w:sz w:val="20"/>
                <w:szCs w:val="20"/>
              </w:rPr>
              <w:t>e</w:t>
            </w:r>
          </w:p>
          <w:p w14:paraId="176364C2" w14:textId="760C11E1" w:rsidR="0075655D" w:rsidRPr="001941B0" w:rsidRDefault="00B2091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Projekt e-Zdrowie KPO był przedmiotem opiniowania </w:t>
            </w:r>
            <w:r w:rsidR="00EF7900" w:rsidRPr="001941B0">
              <w:rPr>
                <w:rFonts w:eastAsiaTheme="minorEastAsia"/>
                <w:sz w:val="20"/>
                <w:szCs w:val="20"/>
              </w:rPr>
              <w:t xml:space="preserve">przez </w:t>
            </w:r>
            <w:r w:rsidRPr="001941B0">
              <w:rPr>
                <w:rFonts w:eastAsiaTheme="minorEastAsia"/>
                <w:sz w:val="20"/>
                <w:szCs w:val="20"/>
              </w:rPr>
              <w:t>KRMC.</w:t>
            </w:r>
          </w:p>
          <w:p w14:paraId="38740487" w14:textId="77777777" w:rsidR="00B2091A" w:rsidRPr="001941B0" w:rsidRDefault="00B2091A" w:rsidP="006E0CB2">
            <w:pPr>
              <w:autoSpaceDE w:val="0"/>
              <w:autoSpaceDN w:val="0"/>
              <w:adjustRightInd w:val="0"/>
              <w:spacing w:after="0" w:line="240" w:lineRule="auto"/>
              <w:rPr>
                <w:rFonts w:eastAsiaTheme="minorEastAsia"/>
                <w:strike/>
                <w:sz w:val="20"/>
                <w:szCs w:val="20"/>
              </w:rPr>
            </w:pPr>
          </w:p>
          <w:p w14:paraId="2A721676" w14:textId="7A69EF56" w:rsidR="007A516A" w:rsidRPr="001941B0" w:rsidRDefault="3CCDB79C"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Obowiązujące ramy prawne dotyczące identyfikacji elektronicznej, usług zaufania i cyberbezpieczeństwa</w:t>
            </w:r>
            <w:r w:rsidR="0409A008" w:rsidRPr="001941B0">
              <w:rPr>
                <w:rFonts w:eastAsiaTheme="minorEastAsia"/>
                <w:sz w:val="20"/>
                <w:szCs w:val="20"/>
              </w:rPr>
              <w:t xml:space="preserve">, jak te wynikające z dyrektywy NIS 2, ustawy o KSC, </w:t>
            </w:r>
            <w:r w:rsidR="00514A33" w:rsidRPr="001941B0">
              <w:rPr>
                <w:rFonts w:eastAsiaTheme="minorEastAsia"/>
                <w:sz w:val="20"/>
                <w:szCs w:val="20"/>
              </w:rPr>
              <w:t>rozporządzenia</w:t>
            </w:r>
            <w:r w:rsidR="0409A008" w:rsidRPr="001941B0">
              <w:rPr>
                <w:rFonts w:eastAsiaTheme="minorEastAsia"/>
                <w:sz w:val="20"/>
                <w:szCs w:val="20"/>
              </w:rPr>
              <w:t xml:space="preserve"> eIDAS 2.0 czy RODO obowiązują wprost w zakresie wynikającym z tych regulacji zarówno </w:t>
            </w:r>
            <w:r w:rsidR="154C83B7" w:rsidRPr="001941B0">
              <w:rPr>
                <w:rFonts w:eastAsiaTheme="minorEastAsia"/>
                <w:sz w:val="20"/>
                <w:szCs w:val="20"/>
              </w:rPr>
              <w:t xml:space="preserve">wobec </w:t>
            </w:r>
            <w:r w:rsidR="0409A008" w:rsidRPr="001941B0">
              <w:rPr>
                <w:rFonts w:eastAsiaTheme="minorEastAsia"/>
                <w:sz w:val="20"/>
                <w:szCs w:val="20"/>
              </w:rPr>
              <w:t>Minist</w:t>
            </w:r>
            <w:r w:rsidR="3A23D104" w:rsidRPr="001941B0">
              <w:rPr>
                <w:rFonts w:eastAsiaTheme="minorEastAsia"/>
                <w:sz w:val="20"/>
                <w:szCs w:val="20"/>
              </w:rPr>
              <w:t>ra Zdrowia, CeZ jak również usługodawców</w:t>
            </w:r>
            <w:r w:rsidR="19CC140C" w:rsidRPr="001941B0">
              <w:rPr>
                <w:rFonts w:eastAsiaTheme="minorEastAsia"/>
                <w:sz w:val="20"/>
                <w:szCs w:val="20"/>
              </w:rPr>
              <w:t xml:space="preserve">. Ustawy regulujące system ochrony zdrowia nie kopiują zatem już obowiązujących regulacji prawnych. </w:t>
            </w:r>
          </w:p>
        </w:tc>
      </w:tr>
      <w:tr w:rsidR="00FC7212" w:rsidRPr="001941B0" w14:paraId="34D01AB6" w14:textId="77777777" w:rsidTr="7139DBB9">
        <w:tc>
          <w:tcPr>
            <w:tcW w:w="1125" w:type="dxa"/>
            <w:shd w:val="clear" w:color="auto" w:fill="FFFFFF" w:themeFill="background1"/>
          </w:tcPr>
          <w:p w14:paraId="4BE466F1"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44E137B" w14:textId="534DE544"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Centrum e-Zdrowia</w:t>
            </w:r>
          </w:p>
        </w:tc>
        <w:tc>
          <w:tcPr>
            <w:tcW w:w="1949" w:type="dxa"/>
            <w:shd w:val="clear" w:color="auto" w:fill="FFFFFF" w:themeFill="background1"/>
          </w:tcPr>
          <w:p w14:paraId="124E06B1" w14:textId="1B9A7DB2"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 charakterze ogólnym dot. Krajowej Sieci Onkologicznej</w:t>
            </w:r>
          </w:p>
        </w:tc>
        <w:tc>
          <w:tcPr>
            <w:tcW w:w="5652" w:type="dxa"/>
            <w:shd w:val="clear" w:color="auto" w:fill="FFFFFF" w:themeFill="background1"/>
          </w:tcPr>
          <w:p w14:paraId="66FF6CB4" w14:textId="6940DB6E" w:rsidR="007A516A" w:rsidRPr="001941B0" w:rsidRDefault="6F6E0DCA" w:rsidP="799FFD03">
            <w:pPr>
              <w:pStyle w:val="Akapitzlist"/>
              <w:numPr>
                <w:ilvl w:val="0"/>
                <w:numId w:val="2"/>
              </w:numPr>
              <w:autoSpaceDE w:val="0"/>
              <w:autoSpaceDN w:val="0"/>
              <w:adjustRightInd w:val="0"/>
              <w:spacing w:after="0" w:line="240" w:lineRule="auto"/>
              <w:rPr>
                <w:rFonts w:eastAsiaTheme="minorEastAsia"/>
                <w:sz w:val="20"/>
                <w:szCs w:val="20"/>
              </w:rPr>
            </w:pPr>
            <w:r w:rsidRPr="001941B0">
              <w:rPr>
                <w:rFonts w:eastAsiaTheme="minorEastAsia"/>
                <w:sz w:val="20"/>
                <w:szCs w:val="20"/>
              </w:rPr>
              <w:t>Z uwagi na fakt, że kwestia zmiany postaci karty DILO z papierowej na elektroniczną oraz wyodrębnienia z niej planu leczenia onkologicznego zaproponowana została zarówno w projekcie ustawy o zmianie ustawy o KSO (w zasadniczej części) jak również w projekcie ustawy o zmianie niektórych ustaw w związku z rozwojem usług e-zdrowia (w zakresie dodania jej do katalogu dokumentów EDM i upoważnienia do jej wystawiania innych osób), konieczne jest połączenie przedmiotowych zmian w jednym projekcie ustawy, gdyż ich wejście w życie nie może być rozdzielone. Podkreślić przy tym należy, że główna część nowelizacji dotyczącej karty DILO znajduje się w projekcie ustawy o zmianie ustawy o KSO.</w:t>
            </w:r>
          </w:p>
          <w:p w14:paraId="56635FD5" w14:textId="010A5401" w:rsidR="007A516A" w:rsidRPr="001941B0" w:rsidRDefault="6F6E0DCA" w:rsidP="006E0CB2">
            <w:pPr>
              <w:pStyle w:val="Akapitzlist"/>
              <w:numPr>
                <w:ilvl w:val="0"/>
                <w:numId w:val="2"/>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Odnosząc się do zaproponowanej regulacji dotyczącej zmiany postaci karty DILO z papierowej na elektroniczną i wprowadzenia jej do katalogu EDM wraz z wyodrębnionym planem leczenia </w:t>
            </w:r>
            <w:r w:rsidRPr="001941B0">
              <w:rPr>
                <w:rFonts w:eastAsiaTheme="minorEastAsia"/>
                <w:sz w:val="20"/>
                <w:szCs w:val="20"/>
              </w:rPr>
              <w:lastRenderedPageBreak/>
              <w:t>onkologicznego należy również uzupełnić przedmiotową regulację o kwestię podpisu tych dokumentów, które w przypadku karty DILO będą podpisywane przez lekarzy uprawnionych do jej wystawienia dwukrotnie, tj. w momencie samego wystawienia, a następnie zakończenia, a w przypadku planu leczenia onkologicznego podpisywane będzie jego wystawienia oraz każda zmiana zakresu leczenia.</w:t>
            </w:r>
          </w:p>
        </w:tc>
        <w:tc>
          <w:tcPr>
            <w:tcW w:w="2855" w:type="dxa"/>
            <w:shd w:val="clear" w:color="auto" w:fill="FFFFFF" w:themeFill="background1"/>
          </w:tcPr>
          <w:p w14:paraId="606BE648" w14:textId="11F658E3" w:rsidR="007A516A" w:rsidRPr="001941B0" w:rsidRDefault="0844D04A"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uwzględniona</w:t>
            </w:r>
          </w:p>
          <w:p w14:paraId="3D605CAD" w14:textId="1364B2FD" w:rsidR="007A516A" w:rsidRPr="001941B0" w:rsidRDefault="007A516A" w:rsidP="006E0CB2">
            <w:pPr>
              <w:autoSpaceDE w:val="0"/>
              <w:autoSpaceDN w:val="0"/>
              <w:adjustRightInd w:val="0"/>
              <w:spacing w:after="0" w:line="240" w:lineRule="auto"/>
              <w:rPr>
                <w:rFonts w:eastAsiaTheme="minorEastAsia"/>
                <w:sz w:val="20"/>
                <w:szCs w:val="20"/>
              </w:rPr>
            </w:pPr>
          </w:p>
        </w:tc>
      </w:tr>
      <w:tr w:rsidR="00FC7212" w:rsidRPr="001941B0" w14:paraId="38D9A9E1" w14:textId="77777777" w:rsidTr="7139DBB9">
        <w:tc>
          <w:tcPr>
            <w:tcW w:w="1125" w:type="dxa"/>
            <w:shd w:val="clear" w:color="auto" w:fill="FFFFFF" w:themeFill="background1"/>
          </w:tcPr>
          <w:p w14:paraId="2E9D84FF"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C03EC0C" w14:textId="622C4CA3"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Centrum e-Zdrowia</w:t>
            </w:r>
          </w:p>
        </w:tc>
        <w:tc>
          <w:tcPr>
            <w:tcW w:w="1949" w:type="dxa"/>
            <w:shd w:val="clear" w:color="auto" w:fill="FFFFFF" w:themeFill="background1"/>
          </w:tcPr>
          <w:p w14:paraId="6D837826" w14:textId="709C3194"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4A5E8754" w14:textId="27B7B68A"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Rozważyć należy rozszerzenie projektu ustawy o:</w:t>
            </w:r>
          </w:p>
          <w:p w14:paraId="1ED6C414" w14:textId="50E79CAB"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uchylenie obowiązku przekazywania przez Centrum Ministrowi Zdrowia sprawozdania z funkcjonowania</w:t>
            </w:r>
            <w:r w:rsidR="06DA90AD" w:rsidRPr="001941B0">
              <w:rPr>
                <w:rFonts w:eastAsiaTheme="minorEastAsia"/>
                <w:sz w:val="20"/>
                <w:szCs w:val="20"/>
              </w:rPr>
              <w:t xml:space="preserve"> </w:t>
            </w:r>
            <w:r w:rsidRPr="001941B0">
              <w:rPr>
                <w:rFonts w:eastAsiaTheme="minorEastAsia"/>
                <w:sz w:val="20"/>
                <w:szCs w:val="20"/>
              </w:rPr>
              <w:t>systemu informacji, o którym mowa w art. 40 ust. 4 ustawy z dnia 28 kwietnia 2011 r. o systemie</w:t>
            </w:r>
            <w:r w:rsidR="7A660FF3" w:rsidRPr="001941B0">
              <w:rPr>
                <w:rFonts w:eastAsiaTheme="minorEastAsia"/>
                <w:sz w:val="20"/>
                <w:szCs w:val="20"/>
              </w:rPr>
              <w:t xml:space="preserve"> </w:t>
            </w:r>
            <w:r w:rsidRPr="001941B0">
              <w:rPr>
                <w:rFonts w:eastAsiaTheme="minorEastAsia"/>
                <w:sz w:val="20"/>
                <w:szCs w:val="20"/>
              </w:rPr>
              <w:t>informacji w ochronie zdrowia. Obecnie bowiem Centrum przekazuje Ministrowi Zdrowia cykliczne</w:t>
            </w:r>
            <w:r w:rsidR="35AFA414" w:rsidRPr="001941B0">
              <w:rPr>
                <w:rFonts w:eastAsiaTheme="minorEastAsia"/>
                <w:sz w:val="20"/>
                <w:szCs w:val="20"/>
              </w:rPr>
              <w:t xml:space="preserve"> </w:t>
            </w:r>
            <w:r w:rsidRPr="001941B0">
              <w:rPr>
                <w:rFonts w:eastAsiaTheme="minorEastAsia"/>
                <w:sz w:val="20"/>
                <w:szCs w:val="20"/>
              </w:rPr>
              <w:t>sprawozdania w zakresie realizowanych budowanych/rozwijanych /utrzymywanych systemów;</w:t>
            </w:r>
          </w:p>
          <w:p w14:paraId="2D693F55" w14:textId="3623E870"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doprecyzowanie w art. 10 ust. 2 pkt 5 ustawy z dnia 28 kwietnia 2011 r. o systemie informacji w ochronie</w:t>
            </w:r>
            <w:r w:rsidR="21BBD81C" w:rsidRPr="001941B0">
              <w:rPr>
                <w:rFonts w:eastAsiaTheme="minorEastAsia"/>
                <w:sz w:val="20"/>
                <w:szCs w:val="20"/>
              </w:rPr>
              <w:t xml:space="preserve"> </w:t>
            </w:r>
            <w:r w:rsidRPr="001941B0">
              <w:rPr>
                <w:rFonts w:eastAsiaTheme="minorEastAsia"/>
                <w:sz w:val="20"/>
                <w:szCs w:val="20"/>
              </w:rPr>
              <w:t>zdrowia, że informacja ubezpieczonego o udzielonych mu świadczeniach jest przekazywana do SIM bez</w:t>
            </w:r>
            <w:r w:rsidR="616656B2" w:rsidRPr="001941B0">
              <w:rPr>
                <w:rFonts w:eastAsiaTheme="minorEastAsia"/>
                <w:sz w:val="20"/>
                <w:szCs w:val="20"/>
              </w:rPr>
              <w:t xml:space="preserve"> </w:t>
            </w:r>
            <w:r w:rsidRPr="001941B0">
              <w:rPr>
                <w:rFonts w:eastAsiaTheme="minorEastAsia"/>
                <w:sz w:val="20"/>
                <w:szCs w:val="20"/>
              </w:rPr>
              <w:t>potrzeby wnioskowania o te dane przez usługobiorcę w IKP;</w:t>
            </w:r>
          </w:p>
          <w:p w14:paraId="19F757CE" w14:textId="4374B930"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uspójnienie przepisów dotyczących miejsca zapisywania i przechowywania EDM. Obecnie zgodnie z</w:t>
            </w:r>
            <w:r w:rsidR="624B60AC" w:rsidRPr="001941B0">
              <w:rPr>
                <w:rFonts w:eastAsiaTheme="minorEastAsia"/>
                <w:sz w:val="20"/>
                <w:szCs w:val="20"/>
              </w:rPr>
              <w:t xml:space="preserve"> </w:t>
            </w:r>
            <w:r w:rsidRPr="001941B0">
              <w:rPr>
                <w:rFonts w:eastAsiaTheme="minorEastAsia"/>
                <w:sz w:val="20"/>
                <w:szCs w:val="20"/>
              </w:rPr>
              <w:t>przepisami EDM jest zapisywana albo w Systemie P1 albo w SIM co może budzić wątpliwości</w:t>
            </w:r>
            <w:r w:rsidR="76E66173" w:rsidRPr="001941B0">
              <w:rPr>
                <w:rFonts w:eastAsiaTheme="minorEastAsia"/>
                <w:sz w:val="20"/>
                <w:szCs w:val="20"/>
              </w:rPr>
              <w:t xml:space="preserve"> </w:t>
            </w:r>
            <w:r w:rsidRPr="001941B0">
              <w:rPr>
                <w:rFonts w:eastAsiaTheme="minorEastAsia"/>
                <w:sz w:val="20"/>
                <w:szCs w:val="20"/>
              </w:rPr>
              <w:t>interpretacyjne co do faktycznego miejsca przechowywania dokumentacji;</w:t>
            </w:r>
          </w:p>
          <w:p w14:paraId="67A54A4E" w14:textId="2F2126EB" w:rsidR="007A516A" w:rsidRPr="001941B0" w:rsidRDefault="6F6E0DC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4) wprowadzenie w ustawie z dnia 5 grudnia 2008 r. o zapobieganiu oraz zwalczaniu zakażeń i chorób</w:t>
            </w:r>
            <w:r w:rsidR="619A235F" w:rsidRPr="001941B0">
              <w:rPr>
                <w:rFonts w:eastAsiaTheme="minorEastAsia"/>
                <w:sz w:val="20"/>
                <w:szCs w:val="20"/>
              </w:rPr>
              <w:t xml:space="preserve"> </w:t>
            </w:r>
            <w:r w:rsidRPr="001941B0">
              <w:rPr>
                <w:rFonts w:eastAsiaTheme="minorEastAsia"/>
                <w:sz w:val="20"/>
                <w:szCs w:val="20"/>
              </w:rPr>
              <w:t>zakaźnych u ludzi (Dz. U. z 2024 r. poz. 924 i 1897) zmian w zakresie likwidacji obowiązku wystawienia</w:t>
            </w:r>
            <w:r w:rsidR="318212CF" w:rsidRPr="001941B0">
              <w:rPr>
                <w:rFonts w:eastAsiaTheme="minorEastAsia"/>
                <w:sz w:val="20"/>
                <w:szCs w:val="20"/>
              </w:rPr>
              <w:t xml:space="preserve"> </w:t>
            </w:r>
            <w:r w:rsidRPr="001941B0">
              <w:rPr>
                <w:rFonts w:eastAsiaTheme="minorEastAsia"/>
                <w:sz w:val="20"/>
                <w:szCs w:val="20"/>
              </w:rPr>
              <w:t>przez system P1 skierowań na szczepienia COVID.</w:t>
            </w:r>
          </w:p>
        </w:tc>
        <w:tc>
          <w:tcPr>
            <w:tcW w:w="2855" w:type="dxa"/>
            <w:shd w:val="clear" w:color="auto" w:fill="FFFFFF" w:themeFill="background1"/>
          </w:tcPr>
          <w:p w14:paraId="098F9FD2" w14:textId="77777777" w:rsidR="00F46C8B" w:rsidRPr="001941B0" w:rsidRDefault="747225E4" w:rsidP="006E0CB2">
            <w:pPr>
              <w:spacing w:after="0" w:line="240" w:lineRule="auto"/>
              <w:rPr>
                <w:rFonts w:eastAsiaTheme="minorEastAsia"/>
                <w:sz w:val="20"/>
                <w:szCs w:val="20"/>
              </w:rPr>
            </w:pPr>
            <w:r w:rsidRPr="001941B0">
              <w:rPr>
                <w:rFonts w:eastAsiaTheme="minorEastAsia"/>
                <w:b/>
                <w:bCs/>
                <w:sz w:val="20"/>
                <w:szCs w:val="20"/>
              </w:rPr>
              <w:t xml:space="preserve">Ad </w:t>
            </w:r>
            <w:r w:rsidR="101F3A85" w:rsidRPr="001941B0">
              <w:rPr>
                <w:rFonts w:eastAsiaTheme="minorEastAsia"/>
                <w:b/>
                <w:bCs/>
                <w:sz w:val="20"/>
                <w:szCs w:val="20"/>
              </w:rPr>
              <w:t xml:space="preserve">1. </w:t>
            </w:r>
            <w:r w:rsidR="2678B187" w:rsidRPr="001941B0">
              <w:rPr>
                <w:rFonts w:eastAsiaTheme="minorEastAsia"/>
                <w:b/>
                <w:sz w:val="20"/>
                <w:szCs w:val="20"/>
              </w:rPr>
              <w:t>Uwaga</w:t>
            </w:r>
            <w:r w:rsidR="00F00557" w:rsidRPr="001941B0">
              <w:rPr>
                <w:rFonts w:eastAsiaTheme="minorEastAsia"/>
                <w:b/>
                <w:sz w:val="20"/>
                <w:szCs w:val="20"/>
              </w:rPr>
              <w:t xml:space="preserve"> </w:t>
            </w:r>
            <w:r w:rsidR="76CC271C" w:rsidRPr="001941B0">
              <w:rPr>
                <w:rFonts w:eastAsiaTheme="minorEastAsia"/>
                <w:b/>
                <w:sz w:val="20"/>
                <w:szCs w:val="20"/>
              </w:rPr>
              <w:t>częściowo</w:t>
            </w:r>
            <w:r w:rsidR="16A58DF4" w:rsidRPr="001941B0">
              <w:rPr>
                <w:rFonts w:eastAsiaTheme="minorEastAsia"/>
                <w:b/>
                <w:sz w:val="20"/>
                <w:szCs w:val="20"/>
              </w:rPr>
              <w:t xml:space="preserve"> uwzględniona</w:t>
            </w:r>
          </w:p>
          <w:p w14:paraId="219150E3" w14:textId="691E551D" w:rsidR="004B49DE" w:rsidRPr="001941B0" w:rsidRDefault="00F00557" w:rsidP="006E0CB2">
            <w:pPr>
              <w:spacing w:after="0" w:line="240" w:lineRule="auto"/>
              <w:rPr>
                <w:rFonts w:eastAsiaTheme="minorEastAsia"/>
                <w:b/>
                <w:sz w:val="20"/>
                <w:szCs w:val="20"/>
              </w:rPr>
            </w:pPr>
            <w:r w:rsidRPr="001941B0">
              <w:rPr>
                <w:rFonts w:eastAsiaTheme="minorEastAsia"/>
                <w:sz w:val="20"/>
                <w:szCs w:val="20"/>
              </w:rPr>
              <w:t xml:space="preserve">Art. 40 ust. 4 zostanie zmodyfikowany poprzez wskazanie, że przedmiotowe sprawozdanie </w:t>
            </w:r>
            <w:r w:rsidR="0002650E" w:rsidRPr="001941B0">
              <w:rPr>
                <w:rFonts w:eastAsiaTheme="minorEastAsia"/>
                <w:sz w:val="20"/>
                <w:szCs w:val="20"/>
              </w:rPr>
              <w:t xml:space="preserve">Centrum e-Zdrowia będzie przedkładać jedynie w zakresie systemów wskazanych w ustawie w których pełni funkcję administratora systemu. </w:t>
            </w:r>
          </w:p>
          <w:p w14:paraId="366E52D3" w14:textId="77777777" w:rsidR="00F46C8B" w:rsidRPr="001941B0" w:rsidRDefault="0025044A"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 xml:space="preserve">Ad 2. </w:t>
            </w:r>
            <w:r w:rsidR="00CF1BC2" w:rsidRPr="001941B0">
              <w:rPr>
                <w:rFonts w:eastAsiaTheme="minorEastAsia"/>
                <w:b/>
                <w:sz w:val="20"/>
                <w:szCs w:val="20"/>
              </w:rPr>
              <w:t>Uwaga nieuwzględniona</w:t>
            </w:r>
            <w:r w:rsidR="00380977" w:rsidRPr="001941B0">
              <w:rPr>
                <w:rFonts w:eastAsiaTheme="minorEastAsia"/>
                <w:b/>
                <w:sz w:val="20"/>
                <w:szCs w:val="20"/>
              </w:rPr>
              <w:t xml:space="preserve"> </w:t>
            </w:r>
          </w:p>
          <w:p w14:paraId="776ED758" w14:textId="68B77B46" w:rsidR="007A516A" w:rsidRPr="001941B0" w:rsidRDefault="00064FE1" w:rsidP="006E0CB2">
            <w:pPr>
              <w:autoSpaceDE w:val="0"/>
              <w:autoSpaceDN w:val="0"/>
              <w:adjustRightInd w:val="0"/>
              <w:spacing w:after="0" w:line="240" w:lineRule="auto"/>
              <w:rPr>
                <w:rFonts w:eastAsiaTheme="minorEastAsia"/>
                <w:b/>
                <w:strike/>
                <w:sz w:val="20"/>
                <w:szCs w:val="20"/>
              </w:rPr>
            </w:pPr>
            <w:r w:rsidRPr="001941B0">
              <w:rPr>
                <w:rFonts w:eastAsiaTheme="minorEastAsia"/>
                <w:bCs/>
                <w:sz w:val="20"/>
                <w:szCs w:val="20"/>
              </w:rPr>
              <w:t>Obecne brzmienie u</w:t>
            </w:r>
            <w:r w:rsidR="000B04E5" w:rsidRPr="001941B0">
              <w:rPr>
                <w:rFonts w:eastAsiaTheme="minorEastAsia"/>
                <w:bCs/>
                <w:sz w:val="20"/>
                <w:szCs w:val="20"/>
              </w:rPr>
              <w:t>staw</w:t>
            </w:r>
            <w:r w:rsidRPr="001941B0">
              <w:rPr>
                <w:rFonts w:eastAsiaTheme="minorEastAsia"/>
                <w:bCs/>
                <w:sz w:val="20"/>
                <w:szCs w:val="20"/>
              </w:rPr>
              <w:t>y</w:t>
            </w:r>
            <w:r w:rsidR="000B04E5" w:rsidRPr="001941B0">
              <w:rPr>
                <w:rFonts w:eastAsiaTheme="minorEastAsia"/>
                <w:sz w:val="20"/>
                <w:szCs w:val="20"/>
              </w:rPr>
              <w:t xml:space="preserve"> o </w:t>
            </w:r>
            <w:r w:rsidRPr="001941B0">
              <w:rPr>
                <w:rFonts w:eastAsiaTheme="minorEastAsia"/>
                <w:bCs/>
                <w:sz w:val="20"/>
                <w:szCs w:val="20"/>
              </w:rPr>
              <w:t xml:space="preserve">systemie informacji w ochronie zdrowia </w:t>
            </w:r>
            <w:r w:rsidR="000B04E5" w:rsidRPr="001941B0">
              <w:rPr>
                <w:rFonts w:eastAsiaTheme="minorEastAsia"/>
                <w:sz w:val="20"/>
                <w:szCs w:val="20"/>
              </w:rPr>
              <w:t xml:space="preserve">przesądza, że NFZ przekazuje dane do CeZ bez </w:t>
            </w:r>
            <w:r w:rsidR="00C71E2D" w:rsidRPr="001941B0">
              <w:rPr>
                <w:rFonts w:eastAsiaTheme="minorEastAsia"/>
                <w:sz w:val="20"/>
                <w:szCs w:val="20"/>
              </w:rPr>
              <w:t>trybu wnioskowania po stronie pacjentów</w:t>
            </w:r>
            <w:r w:rsidR="00F46C8B" w:rsidRPr="001941B0">
              <w:rPr>
                <w:rFonts w:eastAsiaTheme="minorEastAsia"/>
                <w:bCs/>
                <w:sz w:val="20"/>
                <w:szCs w:val="20"/>
              </w:rPr>
              <w:t>.</w:t>
            </w:r>
          </w:p>
          <w:p w14:paraId="2FCEA5B9" w14:textId="77777777" w:rsidR="008F7580" w:rsidRPr="001941B0" w:rsidRDefault="008F7580" w:rsidP="006E0CB2">
            <w:pPr>
              <w:autoSpaceDE w:val="0"/>
              <w:autoSpaceDN w:val="0"/>
              <w:adjustRightInd w:val="0"/>
              <w:spacing w:after="0" w:line="240" w:lineRule="auto"/>
              <w:rPr>
                <w:rFonts w:eastAsiaTheme="minorEastAsia"/>
                <w:sz w:val="20"/>
                <w:szCs w:val="20"/>
              </w:rPr>
            </w:pPr>
          </w:p>
          <w:p w14:paraId="4C4A06FC" w14:textId="783821C9" w:rsidR="004B49DE" w:rsidRPr="001941B0" w:rsidRDefault="00E57B11"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Ad </w:t>
            </w:r>
            <w:r w:rsidR="004B49DE" w:rsidRPr="001941B0">
              <w:rPr>
                <w:rFonts w:eastAsiaTheme="minorEastAsia"/>
                <w:b/>
                <w:sz w:val="20"/>
                <w:szCs w:val="20"/>
              </w:rPr>
              <w:t xml:space="preserve">3. </w:t>
            </w:r>
            <w:r w:rsidR="00A74769" w:rsidRPr="001941B0">
              <w:rPr>
                <w:rFonts w:eastAsiaTheme="minorEastAsia"/>
                <w:b/>
                <w:bCs/>
                <w:sz w:val="20"/>
                <w:szCs w:val="20"/>
              </w:rPr>
              <w:t xml:space="preserve">Uwaga </w:t>
            </w:r>
            <w:r w:rsidR="008B3A57" w:rsidRPr="001941B0">
              <w:rPr>
                <w:rFonts w:eastAsiaTheme="minorEastAsia"/>
                <w:b/>
                <w:bCs/>
                <w:sz w:val="20"/>
                <w:szCs w:val="20"/>
              </w:rPr>
              <w:t>uwzględniona</w:t>
            </w:r>
            <w:r w:rsidR="00907016" w:rsidRPr="001941B0">
              <w:rPr>
                <w:rFonts w:eastAsiaTheme="minorEastAsia"/>
                <w:b/>
                <w:sz w:val="20"/>
                <w:szCs w:val="20"/>
              </w:rPr>
              <w:t xml:space="preserve"> częściowo</w:t>
            </w:r>
            <w:r w:rsidR="00907016" w:rsidRPr="001941B0">
              <w:rPr>
                <w:rFonts w:eastAsiaTheme="minorEastAsia"/>
                <w:sz w:val="20"/>
                <w:szCs w:val="20"/>
              </w:rPr>
              <w:t xml:space="preserve"> </w:t>
            </w:r>
            <w:r w:rsidRPr="001941B0">
              <w:rPr>
                <w:rFonts w:eastAsiaTheme="minorEastAsia"/>
                <w:sz w:val="20"/>
                <w:szCs w:val="20"/>
              </w:rPr>
              <w:t>– w zakresie uspójnienia terminologii</w:t>
            </w:r>
          </w:p>
          <w:p w14:paraId="34818584" w14:textId="77777777" w:rsidR="00E57B11" w:rsidRPr="001941B0" w:rsidRDefault="00E57B11" w:rsidP="006E0CB2">
            <w:pPr>
              <w:autoSpaceDE w:val="0"/>
              <w:autoSpaceDN w:val="0"/>
              <w:adjustRightInd w:val="0"/>
              <w:spacing w:after="0" w:line="240" w:lineRule="auto"/>
              <w:rPr>
                <w:rFonts w:eastAsiaTheme="minorEastAsia"/>
                <w:sz w:val="20"/>
                <w:szCs w:val="20"/>
              </w:rPr>
            </w:pPr>
          </w:p>
          <w:p w14:paraId="4B207FF5" w14:textId="5022528F" w:rsidR="00A96FE1" w:rsidRPr="001941B0" w:rsidRDefault="00A74769" w:rsidP="006E0CB2">
            <w:pPr>
              <w:autoSpaceDE w:val="0"/>
              <w:autoSpaceDN w:val="0"/>
              <w:adjustRightInd w:val="0"/>
              <w:spacing w:after="0" w:line="240" w:lineRule="auto"/>
              <w:rPr>
                <w:rFonts w:eastAsiaTheme="minorEastAsia"/>
                <w:sz w:val="20"/>
                <w:szCs w:val="20"/>
              </w:rPr>
            </w:pPr>
            <w:r w:rsidRPr="001941B0">
              <w:rPr>
                <w:rFonts w:eastAsiaTheme="minorEastAsia"/>
                <w:b/>
                <w:bCs/>
                <w:sz w:val="20"/>
                <w:szCs w:val="20"/>
              </w:rPr>
              <w:t>Ad.</w:t>
            </w:r>
            <w:r w:rsidR="00A96FE1" w:rsidRPr="001941B0">
              <w:rPr>
                <w:rFonts w:eastAsiaTheme="minorEastAsia"/>
                <w:b/>
                <w:sz w:val="20"/>
                <w:szCs w:val="20"/>
              </w:rPr>
              <w:t>4</w:t>
            </w:r>
            <w:r w:rsidRPr="001941B0">
              <w:rPr>
                <w:rFonts w:eastAsiaTheme="minorEastAsia"/>
                <w:b/>
                <w:bCs/>
                <w:sz w:val="20"/>
                <w:szCs w:val="20"/>
              </w:rPr>
              <w:t xml:space="preserve"> </w:t>
            </w:r>
            <w:r w:rsidR="00A96FE1" w:rsidRPr="001941B0">
              <w:rPr>
                <w:rFonts w:eastAsiaTheme="minorEastAsia"/>
                <w:b/>
                <w:sz w:val="20"/>
                <w:szCs w:val="20"/>
              </w:rPr>
              <w:t xml:space="preserve"> </w:t>
            </w:r>
            <w:r w:rsidR="008F7580" w:rsidRPr="001941B0">
              <w:rPr>
                <w:rFonts w:eastAsiaTheme="minorEastAsia"/>
                <w:b/>
                <w:sz w:val="20"/>
                <w:szCs w:val="20"/>
              </w:rPr>
              <w:t>Uwaga uwzględniona</w:t>
            </w:r>
            <w:r w:rsidR="008F7580" w:rsidRPr="001941B0">
              <w:rPr>
                <w:rFonts w:eastAsiaTheme="minorEastAsia"/>
                <w:sz w:val="20"/>
                <w:szCs w:val="20"/>
              </w:rPr>
              <w:t xml:space="preserve"> </w:t>
            </w:r>
          </w:p>
        </w:tc>
      </w:tr>
      <w:tr w:rsidR="00FC7212" w:rsidRPr="001941B0" w14:paraId="54A9A954" w14:textId="77777777" w:rsidTr="7139DBB9">
        <w:tc>
          <w:tcPr>
            <w:tcW w:w="1125" w:type="dxa"/>
            <w:shd w:val="clear" w:color="auto" w:fill="FFFFFF" w:themeFill="background1"/>
          </w:tcPr>
          <w:p w14:paraId="143B5916"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902ADA8" w14:textId="13B993B9" w:rsidR="007A516A" w:rsidRPr="001941B0" w:rsidRDefault="1F7DADF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Federacja Związków Pracodawców Ochrony </w:t>
            </w:r>
            <w:r w:rsidRPr="001941B0">
              <w:rPr>
                <w:rFonts w:eastAsiaTheme="minorEastAsia"/>
                <w:sz w:val="20"/>
                <w:szCs w:val="20"/>
              </w:rPr>
              <w:lastRenderedPageBreak/>
              <w:t>Zdrowia „Porozumienie Zielonogórskie”</w:t>
            </w:r>
          </w:p>
          <w:p w14:paraId="43D558AA" w14:textId="1671CE91" w:rsidR="007A516A" w:rsidRPr="001941B0" w:rsidRDefault="007A516A" w:rsidP="006E0CB2">
            <w:pPr>
              <w:autoSpaceDE w:val="0"/>
              <w:autoSpaceDN w:val="0"/>
              <w:adjustRightInd w:val="0"/>
              <w:spacing w:after="0" w:line="240" w:lineRule="auto"/>
              <w:rPr>
                <w:rFonts w:eastAsiaTheme="minorEastAsia"/>
                <w:sz w:val="20"/>
                <w:szCs w:val="20"/>
              </w:rPr>
            </w:pPr>
          </w:p>
        </w:tc>
        <w:tc>
          <w:tcPr>
            <w:tcW w:w="1949" w:type="dxa"/>
            <w:shd w:val="clear" w:color="auto" w:fill="FFFFFF" w:themeFill="background1"/>
          </w:tcPr>
          <w:p w14:paraId="6AB74A05" w14:textId="678A2166" w:rsidR="007A516A" w:rsidRPr="001941B0" w:rsidRDefault="1F7DADF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Uwaga ogólna</w:t>
            </w:r>
          </w:p>
        </w:tc>
        <w:tc>
          <w:tcPr>
            <w:tcW w:w="5652" w:type="dxa"/>
            <w:shd w:val="clear" w:color="auto" w:fill="FFFFFF" w:themeFill="background1"/>
          </w:tcPr>
          <w:p w14:paraId="6FA18ECF" w14:textId="0E6B2AF1" w:rsidR="007A516A" w:rsidRPr="001941B0" w:rsidRDefault="1F7DADF2" w:rsidP="006E0CB2">
            <w:pPr>
              <w:autoSpaceDE w:val="0"/>
              <w:autoSpaceDN w:val="0"/>
              <w:adjustRightInd w:val="0"/>
              <w:spacing w:after="0" w:line="240" w:lineRule="auto"/>
              <w:ind w:left="-15" w:right="35"/>
              <w:jc w:val="both"/>
              <w:rPr>
                <w:rFonts w:eastAsiaTheme="minorEastAsia"/>
                <w:sz w:val="20"/>
                <w:szCs w:val="20"/>
              </w:rPr>
            </w:pPr>
            <w:r w:rsidRPr="001941B0">
              <w:rPr>
                <w:rFonts w:eastAsiaTheme="minorEastAsia"/>
                <w:color w:val="000000" w:themeColor="text1"/>
                <w:sz w:val="20"/>
                <w:szCs w:val="20"/>
              </w:rPr>
              <w:t xml:space="preserve">W związku z elektronizacją obiegu dokumentacji wskazane jest przyspieszenie i wymuszenie większej częstości przenoszenia deklaracji papierowych do systemu P1. </w:t>
            </w:r>
            <w:r w:rsidRPr="001941B0">
              <w:rPr>
                <w:rFonts w:eastAsiaTheme="minorEastAsia"/>
                <w:sz w:val="20"/>
                <w:szCs w:val="20"/>
              </w:rPr>
              <w:t xml:space="preserve"> </w:t>
            </w:r>
          </w:p>
          <w:p w14:paraId="149FA0F9" w14:textId="59CC1781" w:rsidR="007A516A" w:rsidRPr="001941B0" w:rsidRDefault="007A516A" w:rsidP="006E0CB2">
            <w:pPr>
              <w:autoSpaceDE w:val="0"/>
              <w:autoSpaceDN w:val="0"/>
              <w:adjustRightInd w:val="0"/>
              <w:spacing w:after="0" w:line="240" w:lineRule="auto"/>
              <w:rPr>
                <w:rFonts w:eastAsiaTheme="minorEastAsia"/>
                <w:sz w:val="20"/>
                <w:szCs w:val="20"/>
              </w:rPr>
            </w:pPr>
          </w:p>
        </w:tc>
        <w:tc>
          <w:tcPr>
            <w:tcW w:w="2855" w:type="dxa"/>
            <w:shd w:val="clear" w:color="auto" w:fill="FFFFFF" w:themeFill="background1"/>
          </w:tcPr>
          <w:p w14:paraId="3AF96FAE" w14:textId="6E039D39" w:rsidR="00BB5470" w:rsidRPr="001941B0" w:rsidRDefault="00BB5470"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6A4F1765" w14:textId="5C63A1E4" w:rsidR="00CF6AB5" w:rsidRPr="001941B0" w:rsidRDefault="006F71A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w:t>
            </w:r>
            <w:r w:rsidR="00BB5470" w:rsidRPr="001941B0">
              <w:rPr>
                <w:rFonts w:eastAsiaTheme="minorEastAsia"/>
                <w:sz w:val="20"/>
                <w:szCs w:val="20"/>
              </w:rPr>
              <w:t>oza zakresem</w:t>
            </w:r>
            <w:r w:rsidR="00B9695D" w:rsidRPr="001941B0">
              <w:rPr>
                <w:rFonts w:eastAsiaTheme="minorEastAsia"/>
                <w:sz w:val="20"/>
                <w:szCs w:val="20"/>
              </w:rPr>
              <w:t xml:space="preserve"> </w:t>
            </w:r>
            <w:r w:rsidR="00B9695D" w:rsidRPr="001941B0">
              <w:rPr>
                <w:sz w:val="20"/>
                <w:szCs w:val="20"/>
              </w:rPr>
              <w:t xml:space="preserve">projektowanej </w:t>
            </w:r>
            <w:r w:rsidRPr="001941B0">
              <w:rPr>
                <w:rFonts w:eastAsiaTheme="minorEastAsia"/>
                <w:sz w:val="20"/>
                <w:szCs w:val="20"/>
              </w:rPr>
              <w:t>regulacji</w:t>
            </w:r>
            <w:r w:rsidR="00BB5470" w:rsidRPr="001941B0">
              <w:rPr>
                <w:rFonts w:eastAsiaTheme="minorEastAsia"/>
                <w:sz w:val="20"/>
                <w:szCs w:val="20"/>
              </w:rPr>
              <w:t xml:space="preserve">. </w:t>
            </w:r>
            <w:r w:rsidR="00CF6AB5" w:rsidRPr="001941B0">
              <w:rPr>
                <w:rFonts w:eastAsiaTheme="minorEastAsia"/>
                <w:sz w:val="20"/>
                <w:szCs w:val="20"/>
              </w:rPr>
              <w:t xml:space="preserve">Zmiana będzie </w:t>
            </w:r>
            <w:r w:rsidR="00CF6AB5" w:rsidRPr="001941B0">
              <w:rPr>
                <w:rFonts w:eastAsiaTheme="minorEastAsia"/>
                <w:sz w:val="20"/>
                <w:szCs w:val="20"/>
              </w:rPr>
              <w:lastRenderedPageBreak/>
              <w:t>realizowana w ramach kompleksowej obsługi deklaracji wyboru, ale innym aktem prawnym.</w:t>
            </w:r>
          </w:p>
          <w:p w14:paraId="4AEF2D4C" w14:textId="2961D519" w:rsidR="007A516A" w:rsidRPr="001941B0" w:rsidRDefault="007A516A" w:rsidP="0044265C">
            <w:pPr>
              <w:shd w:val="clear" w:color="auto" w:fill="FFFFFF" w:themeFill="background1"/>
              <w:autoSpaceDE w:val="0"/>
              <w:autoSpaceDN w:val="0"/>
              <w:adjustRightInd w:val="0"/>
              <w:spacing w:after="0" w:line="240" w:lineRule="auto"/>
              <w:rPr>
                <w:rFonts w:eastAsiaTheme="minorEastAsia"/>
                <w:sz w:val="20"/>
                <w:szCs w:val="20"/>
              </w:rPr>
            </w:pPr>
          </w:p>
        </w:tc>
      </w:tr>
      <w:tr w:rsidR="00FC7212" w:rsidRPr="001941B0" w14:paraId="30CC5067" w14:textId="77777777" w:rsidTr="7139DBB9">
        <w:tc>
          <w:tcPr>
            <w:tcW w:w="1125" w:type="dxa"/>
            <w:shd w:val="clear" w:color="auto" w:fill="FFFFFF" w:themeFill="background1"/>
          </w:tcPr>
          <w:p w14:paraId="0BD1EADD"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0751192" w14:textId="4435E03B" w:rsidR="00CE538C" w:rsidRPr="001941B0" w:rsidRDefault="00671196" w:rsidP="006E0CB2">
            <w:pPr>
              <w:autoSpaceDE w:val="0"/>
              <w:autoSpaceDN w:val="0"/>
              <w:adjustRightInd w:val="0"/>
              <w:spacing w:after="0" w:line="240" w:lineRule="auto"/>
              <w:rPr>
                <w:rFonts w:cs="Calibri"/>
                <w:sz w:val="20"/>
                <w:szCs w:val="20"/>
              </w:rPr>
            </w:pPr>
            <w:r w:rsidRPr="001941B0">
              <w:rPr>
                <w:rFonts w:eastAsia="Calibri" w:cs="Calibri"/>
                <w:sz w:val="20"/>
                <w:szCs w:val="20"/>
              </w:rPr>
              <w:t xml:space="preserve">Polska Izba </w:t>
            </w:r>
            <w:r w:rsidRPr="001941B0">
              <w:rPr>
                <w:rFonts w:cs="Calibri"/>
                <w:sz w:val="20"/>
                <w:szCs w:val="20"/>
              </w:rPr>
              <w:t>Informatyki i Telekomunikacji (PIIT)</w:t>
            </w:r>
          </w:p>
          <w:p w14:paraId="0F2BD09E" w14:textId="01359A82" w:rsidR="007A516A" w:rsidRPr="001941B0" w:rsidRDefault="0080065B" w:rsidP="006E0CB2">
            <w:pPr>
              <w:autoSpaceDE w:val="0"/>
              <w:autoSpaceDN w:val="0"/>
              <w:adjustRightInd w:val="0"/>
              <w:spacing w:after="0" w:line="240" w:lineRule="auto"/>
              <w:rPr>
                <w:rFonts w:eastAsia="Calibri" w:cs="Calibri"/>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1EEEF6F2" w14:textId="2E23CC5E" w:rsidR="007A516A" w:rsidRPr="001941B0" w:rsidRDefault="0067119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7B1FAA56" w14:textId="1E89A968" w:rsidR="00ED1CB6" w:rsidRPr="001941B0" w:rsidRDefault="00ED1CB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Projektodawca wprowadzając nowe przepisy oraz zmieniając niektóre dotychczasowe przepisy ustaw z zakresu szeroko pojętej ochrony zdrowia skupił się, co zrozumiałe, na funkcjonalnych celach. Jednak dokonując tych zmian nie uwzględnił w sposób dostateczny obowiązujących innych aktów prawnych odnoszących się w sposób ogólny i standaryzujący do identyfikacji, usług zaufania </w:t>
            </w:r>
            <w:r w:rsidRPr="001941B0">
              <w:rPr>
                <w:sz w:val="20"/>
                <w:szCs w:val="20"/>
              </w:rPr>
              <w:br/>
            </w:r>
            <w:r w:rsidRPr="001941B0">
              <w:rPr>
                <w:rFonts w:eastAsiaTheme="minorEastAsia"/>
                <w:sz w:val="20"/>
                <w:szCs w:val="20"/>
              </w:rPr>
              <w:t xml:space="preserve">i cyberbezpieczeństwa. Chodzi tu przede wszystkim o stosowanie takich rozwiązań prawnych </w:t>
            </w:r>
            <w:r w:rsidRPr="001941B0">
              <w:rPr>
                <w:sz w:val="20"/>
                <w:szCs w:val="20"/>
              </w:rPr>
              <w:br/>
            </w:r>
            <w:r w:rsidRPr="001941B0">
              <w:rPr>
                <w:rFonts w:eastAsiaTheme="minorEastAsia"/>
                <w:sz w:val="20"/>
                <w:szCs w:val="20"/>
              </w:rPr>
              <w:t xml:space="preserve">i technologicznych, które są zgodne z wymaganiami prawnymi i normalizacyjnymi określonymi </w:t>
            </w:r>
            <w:r w:rsidRPr="001941B0">
              <w:rPr>
                <w:sz w:val="20"/>
                <w:szCs w:val="20"/>
              </w:rPr>
              <w:br/>
            </w:r>
            <w:r w:rsidRPr="001941B0">
              <w:rPr>
                <w:rFonts w:eastAsiaTheme="minorEastAsia"/>
                <w:sz w:val="20"/>
                <w:szCs w:val="20"/>
              </w:rPr>
              <w:t>w przepisach UE, a które mają zapewnić interoperacyjność na jednolitym europejskim rynku cyfrowym przy osiągnięciu odpowiedniego poziomu bezpieczeństwa systemów informatycznych i realizowanych za ich pomocą procesów. Można odnieść wrażenie, że proponowane rozwiązania informatyczne nie są uzgadniane z wiodącym w tym zakresie Ministerstwem Cyfryzacji, które wprowadza rozwiązania, które nie tylko mogą, ale też powinny być wykorzystywane przez wszystkich użytkowników rynku cyfrowego.</w:t>
            </w:r>
          </w:p>
          <w:p w14:paraId="08D6AB4B" w14:textId="70779139" w:rsidR="00ED1CB6" w:rsidRPr="001941B0" w:rsidRDefault="00ED1CB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Należy zatem brać pod uwagę również następujące akty prawne i dokumenty:</w:t>
            </w:r>
          </w:p>
          <w:p w14:paraId="2E760E13" w14:textId="362044E8" w:rsidR="00ED1CB6" w:rsidRPr="001941B0" w:rsidRDefault="00ED1CB6" w:rsidP="006E0CB2">
            <w:pPr>
              <w:numPr>
                <w:ilvl w:val="0"/>
                <w:numId w:val="14"/>
              </w:numPr>
              <w:autoSpaceDE w:val="0"/>
              <w:autoSpaceDN w:val="0"/>
              <w:adjustRightInd w:val="0"/>
              <w:spacing w:after="0" w:line="240" w:lineRule="auto"/>
              <w:rPr>
                <w:rFonts w:eastAsiaTheme="minorEastAsia"/>
                <w:sz w:val="20"/>
                <w:szCs w:val="20"/>
              </w:rPr>
            </w:pPr>
            <w:r w:rsidRPr="001941B0">
              <w:rPr>
                <w:rFonts w:eastAsiaTheme="minorEastAsia"/>
                <w:sz w:val="20"/>
                <w:szCs w:val="20"/>
              </w:rPr>
              <w:t>Dyrektywa Parlamentu Europejskiego i Rady (UE) 2022/2555 z dnia 14 grudnia 2022 r. w sprawie środków na rzecz wysokiego wspólnego poziomu cyberbezpieczeństwa na terytorium Unii, zmieniająca rozporządzenie (UE) nr 910/2014 i dyrektywę (UE) 2018/1972 oraz uchylająca dyrektywę (UE) 2016/1148 (dyrektywa NIS 2);</w:t>
            </w:r>
          </w:p>
          <w:p w14:paraId="0206C0BA" w14:textId="53745B88" w:rsidR="00ED1CB6" w:rsidRPr="001941B0" w:rsidRDefault="00ED1CB6" w:rsidP="006E0CB2">
            <w:pPr>
              <w:numPr>
                <w:ilvl w:val="0"/>
                <w:numId w:val="14"/>
              </w:num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Projekt Ustawy z dnia</w:t>
            </w:r>
            <w:r w:rsidRPr="001941B0">
              <w:rPr>
                <w:rFonts w:eastAsiaTheme="minorEastAsia"/>
                <w:b/>
                <w:bCs/>
                <w:sz w:val="20"/>
                <w:szCs w:val="20"/>
              </w:rPr>
              <w:t xml:space="preserve"> </w:t>
            </w:r>
            <w:r w:rsidRPr="001941B0">
              <w:rPr>
                <w:rFonts w:eastAsiaTheme="minorEastAsia"/>
                <w:sz w:val="20"/>
                <w:szCs w:val="20"/>
              </w:rPr>
              <w:t>z dnia 23 stycznia 2026 r. o zmianie ustawy o krajowym systemie cyberbezpieczeństwa oraz niektórych innych ustaw;</w:t>
            </w:r>
          </w:p>
          <w:p w14:paraId="581C6088" w14:textId="4E1E1DEB" w:rsidR="00ED1CB6" w:rsidRPr="001941B0" w:rsidRDefault="00ED1CB6" w:rsidP="006E0CB2">
            <w:pPr>
              <w:numPr>
                <w:ilvl w:val="0"/>
                <w:numId w:val="14"/>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Rozporządzenie Parlamentu Europejskiego i Rady (UE) nr 910/2014 z dnia 23 lipca 2014 r. </w:t>
            </w:r>
            <w:r w:rsidRPr="001941B0">
              <w:rPr>
                <w:sz w:val="20"/>
                <w:szCs w:val="20"/>
              </w:rPr>
              <w:br/>
            </w:r>
            <w:r w:rsidRPr="001941B0">
              <w:rPr>
                <w:rFonts w:eastAsiaTheme="minorEastAsia"/>
                <w:sz w:val="20"/>
                <w:szCs w:val="20"/>
              </w:rPr>
              <w:t>w sprawie identyfikacji elektronicznej i usług zaufania w odniesieniu do transakcji elektronicznych na rynku wewnętrznym oraz uchylające dyrektywę 1999/93/WE zmienione przez Rozporządzenie Parlamentu Europejskiego i Rady (UE) 2024/1183 z dnia 11 kwietnia 2024 roku (tzw. eIDAS 2.0);</w:t>
            </w:r>
          </w:p>
          <w:p w14:paraId="53B02DC1" w14:textId="383F95F0" w:rsidR="00ED1CB6" w:rsidRPr="001941B0" w:rsidRDefault="00ED1CB6" w:rsidP="006E0CB2">
            <w:pPr>
              <w:numPr>
                <w:ilvl w:val="0"/>
                <w:numId w:val="14"/>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Rozporządzenie Parlamentu Europejskiego i Rady (UE) 2016/679 z dnia 27 kwietnia 2016 r. </w:t>
            </w:r>
            <w:r w:rsidRPr="001941B0">
              <w:rPr>
                <w:sz w:val="20"/>
                <w:szCs w:val="20"/>
              </w:rPr>
              <w:br/>
            </w:r>
            <w:r w:rsidRPr="001941B0">
              <w:rPr>
                <w:rFonts w:eastAsiaTheme="minorEastAsia"/>
                <w:sz w:val="20"/>
                <w:szCs w:val="20"/>
              </w:rPr>
              <w:t>w sprawie ochrony osób fizycznych w związku z przetwarzaniem danych osobowych i w sprawie swobodnego przepływu takich danych oraz uchylenia dyrektywy 95/46/WE (ogólne rozporządzenie o ochronie danych);</w:t>
            </w:r>
          </w:p>
          <w:p w14:paraId="28D8289F" w14:textId="36B24E82" w:rsidR="00ED1CB6" w:rsidRPr="001941B0" w:rsidRDefault="00ED1CB6" w:rsidP="006E0CB2">
            <w:pPr>
              <w:numPr>
                <w:ilvl w:val="0"/>
                <w:numId w:val="14"/>
              </w:numPr>
              <w:autoSpaceDE w:val="0"/>
              <w:autoSpaceDN w:val="0"/>
              <w:adjustRightInd w:val="0"/>
              <w:spacing w:after="0" w:line="240" w:lineRule="auto"/>
              <w:rPr>
                <w:rFonts w:eastAsiaTheme="minorEastAsia"/>
                <w:sz w:val="20"/>
                <w:szCs w:val="20"/>
              </w:rPr>
            </w:pPr>
            <w:r w:rsidRPr="001941B0">
              <w:rPr>
                <w:rFonts w:eastAsiaTheme="minorEastAsia"/>
                <w:sz w:val="20"/>
                <w:szCs w:val="20"/>
              </w:rPr>
              <w:t>Projekt uchwały Rady Ministrów w sprawie strategii dotyczącej informatyzacji państwa „Strategii Cyfryzacji Państwa”.</w:t>
            </w:r>
          </w:p>
          <w:p w14:paraId="079B17A2" w14:textId="47CFFF20" w:rsidR="00ED1CB6" w:rsidRPr="001941B0" w:rsidRDefault="00ED1CB6" w:rsidP="006E0CB2">
            <w:pPr>
              <w:autoSpaceDE w:val="0"/>
              <w:autoSpaceDN w:val="0"/>
              <w:adjustRightInd w:val="0"/>
              <w:spacing w:after="0" w:line="240" w:lineRule="auto"/>
              <w:rPr>
                <w:rFonts w:eastAsiaTheme="minorEastAsia"/>
                <w:sz w:val="20"/>
                <w:szCs w:val="20"/>
              </w:rPr>
            </w:pPr>
          </w:p>
          <w:p w14:paraId="63E65A58" w14:textId="6EFE2906" w:rsidR="00ED1CB6" w:rsidRPr="001941B0" w:rsidRDefault="00ED1CB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O braku uwzględnienia powyższych aktów prawnych oraz rekomendacji i wynikających z nich zobowiązań świadczy zarówno to, że Projektodawca nie wspomniał o nich w Uzasadnieniu oraz </w:t>
            </w:r>
            <w:r w:rsidRPr="001941B0">
              <w:rPr>
                <w:sz w:val="20"/>
                <w:szCs w:val="20"/>
              </w:rPr>
              <w:br/>
            </w:r>
            <w:r w:rsidRPr="001941B0">
              <w:rPr>
                <w:rFonts w:eastAsiaTheme="minorEastAsia"/>
                <w:sz w:val="20"/>
                <w:szCs w:val="20"/>
              </w:rPr>
              <w:t>w Ocenie Skutków Regulacji, jaki i to, że zaproponowane rozwiązania, które nie wpisują się w ogólny proces cyfryzacji rynku krajowego i europejskiego.</w:t>
            </w:r>
          </w:p>
          <w:p w14:paraId="1724E087" w14:textId="185B7A4C" w:rsidR="00ED1CB6" w:rsidRPr="001941B0" w:rsidRDefault="00ED1CB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Można odnieść wrażenie, że Projektodawca założył, że wszystkie niezbędne rozwiązania i narzędzia zostaną wytworzone i dostarczone przez instytucje państwowe sektora zdrowia. Natomiast oszczędności i powszechną cyfryzację widzi pośrednio w obniżeniu poziomu bezpieczeństwa, co ma ułatwić korzystanie z rozwiązań informatycznych.</w:t>
            </w:r>
          </w:p>
          <w:p w14:paraId="708EBF7A" w14:textId="77777777" w:rsidR="00CE538C" w:rsidRPr="001941B0" w:rsidRDefault="00ED1CB6" w:rsidP="006E0CB2">
            <w:pPr>
              <w:autoSpaceDE w:val="0"/>
              <w:autoSpaceDN w:val="0"/>
              <w:adjustRightInd w:val="0"/>
              <w:spacing w:after="0" w:line="240" w:lineRule="auto"/>
              <w:rPr>
                <w:rFonts w:eastAsiaTheme="minorEastAsia"/>
                <w:sz w:val="20"/>
                <w:szCs w:val="20"/>
              </w:rPr>
            </w:pPr>
            <w:r w:rsidRPr="001941B0">
              <w:rPr>
                <w:rFonts w:eastAsiaTheme="minorEastAsia"/>
                <w:b/>
                <w:bCs/>
                <w:sz w:val="20"/>
                <w:szCs w:val="20"/>
              </w:rPr>
              <w:lastRenderedPageBreak/>
              <w:t>W związku powyższych wnioskujemy, aby po uwzględnieniu ww. aktów prawnych projekt ustawy w tym zakresie ponownie przekazać do konsultacji, aby potwierdzić, że proponowane przepisy wpisują się w ogólne procesy cyfryzacji zarówno krajowej jak i europejskie</w:t>
            </w:r>
          </w:p>
          <w:p w14:paraId="3DA0CF7E" w14:textId="144685FC" w:rsidR="0080065B" w:rsidRPr="001941B0" w:rsidRDefault="0080065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odniesienia do rozporządzenia UE w sprawie sztucznej inteligencji (AI Act). </w:t>
            </w:r>
            <w:r w:rsidRPr="001941B0">
              <w:rPr>
                <w:sz w:val="20"/>
                <w:szCs w:val="20"/>
              </w:rPr>
              <w:t xml:space="preserve"> </w:t>
            </w:r>
            <w:r w:rsidRPr="001941B0">
              <w:rPr>
                <w:rFonts w:eastAsiaTheme="minorEastAsia"/>
                <w:sz w:val="20"/>
                <w:szCs w:val="20"/>
              </w:rPr>
              <w:t>Systemy analityczne wykorzystywane w diagnostyce będą kwalifikowane jako systemy wysokiego ryzyka w rozumieniu prawa UE. Projekt ustawy nie zawiera:</w:t>
            </w:r>
          </w:p>
          <w:p w14:paraId="5D44EAA4" w14:textId="77777777" w:rsidR="0080065B" w:rsidRPr="001941B0" w:rsidRDefault="0080065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definicji systemu AI,</w:t>
            </w:r>
          </w:p>
          <w:p w14:paraId="37EA7590" w14:textId="77777777" w:rsidR="0080065B" w:rsidRPr="001941B0" w:rsidRDefault="0080065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obowiązków operatora systemu,</w:t>
            </w:r>
          </w:p>
          <w:p w14:paraId="63F24E4F" w14:textId="77777777" w:rsidR="007A516A" w:rsidRPr="001941B0" w:rsidRDefault="0080065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odniesienia do przepisów UE.</w:t>
            </w:r>
          </w:p>
          <w:p w14:paraId="2E7B9B77" w14:textId="0CF6AF5F" w:rsidR="0080065B" w:rsidRPr="001941B0" w:rsidRDefault="0080065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Systemy</w:t>
            </w:r>
            <w:r w:rsidRPr="001941B0">
              <w:rPr>
                <w:rFonts w:eastAsiaTheme="minorEastAsia"/>
                <w:sz w:val="20"/>
                <w:szCs w:val="20"/>
              </w:rPr>
              <w:t xml:space="preserve"> wykorzystujące sztuczną inteligencję w diagnostyce medycznej podlegają wymogom wynikającym z przepisów Unii Europejskiej dotyczących systemów wysokiego ryzyka. Minister właściwy do spraw zdrowia określi, w drodze rozporządzenia, sposób zapewnienia zgodności tych systemów z przepisami prawa UE.</w:t>
            </w:r>
          </w:p>
          <w:p w14:paraId="50846892" w14:textId="24396BAA" w:rsidR="007A516A" w:rsidRPr="001941B0" w:rsidRDefault="0080065B" w:rsidP="006E0CB2">
            <w:pPr>
              <w:autoSpaceDE w:val="0"/>
              <w:autoSpaceDN w:val="0"/>
              <w:adjustRightInd w:val="0"/>
              <w:spacing w:after="0" w:line="240" w:lineRule="auto"/>
              <w:rPr>
                <w:rFonts w:eastAsiaTheme="minorEastAsia"/>
                <w:b/>
                <w:bCs/>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 xml:space="preserve">Brak odniesenia do prawa UE. </w:t>
            </w:r>
          </w:p>
        </w:tc>
        <w:tc>
          <w:tcPr>
            <w:tcW w:w="2855" w:type="dxa"/>
            <w:shd w:val="clear" w:color="auto" w:fill="FFFFFF" w:themeFill="background1"/>
          </w:tcPr>
          <w:p w14:paraId="0D3E1E20" w14:textId="0AB6D602" w:rsidR="008215FD" w:rsidRPr="001941B0" w:rsidRDefault="00990CD2" w:rsidP="006E0CB2">
            <w:pPr>
              <w:autoSpaceDE w:val="0"/>
              <w:autoSpaceDN w:val="0"/>
              <w:adjustRightInd w:val="0"/>
              <w:spacing w:after="0" w:line="240" w:lineRule="auto"/>
              <w:rPr>
                <w:rFonts w:eastAsiaTheme="minorEastAsia"/>
                <w:b/>
                <w:sz w:val="20"/>
                <w:szCs w:val="20"/>
              </w:rPr>
            </w:pPr>
            <w:r w:rsidRPr="001941B0">
              <w:rPr>
                <w:rFonts w:eastAsiaTheme="minorEastAsia"/>
                <w:b/>
                <w:bCs/>
                <w:sz w:val="20"/>
                <w:szCs w:val="20"/>
              </w:rPr>
              <w:lastRenderedPageBreak/>
              <w:t>Uwaga nieuwzględniona</w:t>
            </w:r>
          </w:p>
          <w:p w14:paraId="23167044" w14:textId="233CBBD8" w:rsidR="008215FD" w:rsidRPr="001941B0" w:rsidRDefault="008215F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Projekt </w:t>
            </w:r>
            <w:r w:rsidR="0008298E" w:rsidRPr="001941B0">
              <w:rPr>
                <w:rFonts w:eastAsiaTheme="minorEastAsia"/>
                <w:sz w:val="20"/>
                <w:szCs w:val="20"/>
              </w:rPr>
              <w:t xml:space="preserve">pn. „e-Zdrowie” realizowany przez CeZ ze środków z KPO został </w:t>
            </w:r>
            <w:r w:rsidRPr="001941B0">
              <w:rPr>
                <w:rFonts w:eastAsiaTheme="minorEastAsia"/>
                <w:sz w:val="20"/>
                <w:szCs w:val="20"/>
              </w:rPr>
              <w:t>uzgodniony z KRMC.</w:t>
            </w:r>
          </w:p>
          <w:p w14:paraId="6E03D7FF" w14:textId="41323273" w:rsidR="008215FD" w:rsidRPr="001941B0" w:rsidRDefault="008215FD" w:rsidP="4E799236">
            <w:pPr>
              <w:autoSpaceDE w:val="0"/>
              <w:autoSpaceDN w:val="0"/>
              <w:adjustRightInd w:val="0"/>
              <w:spacing w:after="0" w:line="240" w:lineRule="auto"/>
              <w:rPr>
                <w:rFonts w:eastAsiaTheme="minorEastAsia"/>
                <w:sz w:val="20"/>
                <w:szCs w:val="20"/>
              </w:rPr>
            </w:pPr>
            <w:r w:rsidRPr="001941B0">
              <w:rPr>
                <w:rFonts w:eastAsiaTheme="minorEastAsia"/>
                <w:sz w:val="20"/>
                <w:szCs w:val="20"/>
              </w:rPr>
              <w:t>Kwestia wy</w:t>
            </w:r>
            <w:r w:rsidR="004973C5" w:rsidRPr="001941B0">
              <w:rPr>
                <w:rFonts w:eastAsiaTheme="minorEastAsia"/>
                <w:sz w:val="20"/>
                <w:szCs w:val="20"/>
              </w:rPr>
              <w:t>r</w:t>
            </w:r>
            <w:r w:rsidRPr="001941B0">
              <w:rPr>
                <w:rFonts w:eastAsiaTheme="minorEastAsia"/>
                <w:sz w:val="20"/>
                <w:szCs w:val="20"/>
              </w:rPr>
              <w:t xml:space="preserve">obów medycznych </w:t>
            </w:r>
            <w:r w:rsidR="002A6C3E" w:rsidRPr="001941B0">
              <w:rPr>
                <w:rFonts w:eastAsiaTheme="minorEastAsia"/>
                <w:sz w:val="20"/>
                <w:szCs w:val="20"/>
              </w:rPr>
              <w:t>(w tym wymogów</w:t>
            </w:r>
            <w:r w:rsidR="00FA17A9" w:rsidRPr="001941B0">
              <w:rPr>
                <w:rFonts w:eastAsiaTheme="minorEastAsia"/>
                <w:sz w:val="20"/>
                <w:szCs w:val="20"/>
              </w:rPr>
              <w:t xml:space="preserve"> ich dotyczących</w:t>
            </w:r>
            <w:r w:rsidR="002A6C3E" w:rsidRPr="001941B0">
              <w:rPr>
                <w:rFonts w:eastAsiaTheme="minorEastAsia"/>
                <w:sz w:val="20"/>
                <w:szCs w:val="20"/>
              </w:rPr>
              <w:t xml:space="preserve">) </w:t>
            </w:r>
            <w:r w:rsidRPr="001941B0">
              <w:rPr>
                <w:rFonts w:eastAsiaTheme="minorEastAsia"/>
                <w:sz w:val="20"/>
                <w:szCs w:val="20"/>
              </w:rPr>
              <w:t>jest uwzględniona w przepisach sektorowych</w:t>
            </w:r>
            <w:r w:rsidR="00FA17A9" w:rsidRPr="001941B0">
              <w:rPr>
                <w:rFonts w:eastAsiaTheme="minorEastAsia"/>
                <w:sz w:val="20"/>
                <w:szCs w:val="20"/>
              </w:rPr>
              <w:t>.</w:t>
            </w:r>
          </w:p>
          <w:p w14:paraId="252E8140" w14:textId="419BA22C" w:rsidR="008215FD" w:rsidRPr="001941B0" w:rsidRDefault="44416F8D" w:rsidP="4E799236">
            <w:pPr>
              <w:autoSpaceDE w:val="0"/>
              <w:autoSpaceDN w:val="0"/>
              <w:adjustRightInd w:val="0"/>
              <w:spacing w:after="0" w:line="240" w:lineRule="auto"/>
              <w:rPr>
                <w:rFonts w:eastAsia="Aptos" w:cs="Aptos"/>
                <w:sz w:val="20"/>
                <w:szCs w:val="20"/>
              </w:rPr>
            </w:pPr>
            <w:r w:rsidRPr="001941B0">
              <w:rPr>
                <w:rFonts w:eastAsiaTheme="minorEastAsia"/>
                <w:sz w:val="20"/>
                <w:szCs w:val="20"/>
              </w:rPr>
              <w:t>S</w:t>
            </w:r>
            <w:r w:rsidRPr="001941B0">
              <w:rPr>
                <w:rFonts w:eastAsia="Aptos" w:cs="Aptos"/>
                <w:sz w:val="20"/>
                <w:szCs w:val="20"/>
              </w:rPr>
              <w:t>tosownie do postanowień § 35 ust. 1 uchwały nr 190 Rady Ministrów z dnia 29 października 2013 r.– Regulamin pracy Rady Ministrów (M.P. z 2024 r. poz. 806, z późn. zm.),</w:t>
            </w:r>
            <w:r w:rsidR="11FF7833" w:rsidRPr="001941B0">
              <w:rPr>
                <w:rFonts w:eastAsia="Aptos" w:cs="Aptos"/>
                <w:sz w:val="20"/>
                <w:szCs w:val="20"/>
              </w:rPr>
              <w:t xml:space="preserve"> zapisy projektowanej </w:t>
            </w:r>
            <w:r w:rsidR="10C31E05" w:rsidRPr="001941B0">
              <w:rPr>
                <w:rFonts w:eastAsia="Aptos" w:cs="Aptos"/>
                <w:sz w:val="20"/>
                <w:szCs w:val="20"/>
              </w:rPr>
              <w:t>ustawy</w:t>
            </w:r>
            <w:r w:rsidR="11FF7833" w:rsidRPr="001941B0">
              <w:rPr>
                <w:rFonts w:eastAsia="Aptos" w:cs="Aptos"/>
                <w:sz w:val="20"/>
                <w:szCs w:val="20"/>
              </w:rPr>
              <w:t xml:space="preserve"> były przedmiotem uzgodnień Ministerstwa Zdrowia z Ministe</w:t>
            </w:r>
            <w:r w:rsidR="7287658D" w:rsidRPr="001941B0">
              <w:rPr>
                <w:rFonts w:eastAsia="Aptos" w:cs="Aptos"/>
                <w:sz w:val="20"/>
                <w:szCs w:val="20"/>
              </w:rPr>
              <w:t>rstwem</w:t>
            </w:r>
            <w:r w:rsidR="11FF7833" w:rsidRPr="001941B0">
              <w:rPr>
                <w:rFonts w:eastAsia="Aptos" w:cs="Aptos"/>
                <w:sz w:val="20"/>
                <w:szCs w:val="20"/>
              </w:rPr>
              <w:t xml:space="preserve"> Cyfryzacji</w:t>
            </w:r>
            <w:r w:rsidR="0AE994B8" w:rsidRPr="001941B0">
              <w:rPr>
                <w:rFonts w:eastAsia="Aptos" w:cs="Aptos"/>
                <w:sz w:val="20"/>
                <w:szCs w:val="20"/>
              </w:rPr>
              <w:t xml:space="preserve">. Odnosząc się do </w:t>
            </w:r>
            <w:r w:rsidR="052A1B26" w:rsidRPr="001941B0">
              <w:rPr>
                <w:rFonts w:eastAsia="Aptos" w:cs="Aptos"/>
                <w:sz w:val="20"/>
                <w:szCs w:val="20"/>
              </w:rPr>
              <w:t xml:space="preserve">uwzględniania w projektowanej ustawie </w:t>
            </w:r>
            <w:r w:rsidR="7BD73E5F" w:rsidRPr="001941B0">
              <w:rPr>
                <w:rFonts w:eastAsia="Aptos" w:cs="Aptos"/>
                <w:sz w:val="20"/>
                <w:szCs w:val="20"/>
              </w:rPr>
              <w:t xml:space="preserve">przepisów zamieszczonych </w:t>
            </w:r>
            <w:r w:rsidR="0207F4C7" w:rsidRPr="001941B0">
              <w:rPr>
                <w:rFonts w:eastAsia="Aptos" w:cs="Aptos"/>
                <w:sz w:val="20"/>
                <w:szCs w:val="20"/>
              </w:rPr>
              <w:t>w innych</w:t>
            </w:r>
            <w:r w:rsidR="7BD73E5F" w:rsidRPr="001941B0">
              <w:rPr>
                <w:rFonts w:eastAsia="Aptos" w:cs="Aptos"/>
                <w:sz w:val="20"/>
                <w:szCs w:val="20"/>
              </w:rPr>
              <w:t xml:space="preserve"> ustawach, regulujących </w:t>
            </w:r>
            <w:r w:rsidR="5056842E" w:rsidRPr="001941B0">
              <w:rPr>
                <w:rFonts w:eastAsia="Aptos" w:cs="Aptos"/>
                <w:sz w:val="20"/>
                <w:szCs w:val="20"/>
              </w:rPr>
              <w:t xml:space="preserve">szeroko rozumiane procesy cyfryzacji, uprzejmie informuję, że </w:t>
            </w:r>
            <w:r w:rsidR="4609489B" w:rsidRPr="001941B0">
              <w:rPr>
                <w:rFonts w:eastAsia="Aptos" w:cs="Aptos"/>
                <w:sz w:val="20"/>
                <w:szCs w:val="20"/>
              </w:rPr>
              <w:t>powyższe</w:t>
            </w:r>
            <w:r w:rsidR="7D210CD0" w:rsidRPr="001941B0">
              <w:rPr>
                <w:rFonts w:eastAsia="Aptos" w:cs="Aptos"/>
                <w:sz w:val="20"/>
                <w:szCs w:val="20"/>
              </w:rPr>
              <w:t xml:space="preserve"> </w:t>
            </w:r>
            <w:r w:rsidR="28FE227D" w:rsidRPr="001941B0">
              <w:rPr>
                <w:rFonts w:eastAsia="Aptos" w:cs="Aptos"/>
                <w:sz w:val="20"/>
                <w:szCs w:val="20"/>
              </w:rPr>
              <w:t>byłoby sprzeczne</w:t>
            </w:r>
            <w:r w:rsidR="0156439A" w:rsidRPr="001941B0">
              <w:rPr>
                <w:rFonts w:eastAsia="Aptos" w:cs="Aptos"/>
                <w:sz w:val="20"/>
                <w:szCs w:val="20"/>
              </w:rPr>
              <w:t xml:space="preserve"> z zasadami techniki prawodawczej. Albowiem </w:t>
            </w:r>
            <w:r w:rsidR="0156439A" w:rsidRPr="001941B0">
              <w:rPr>
                <w:rFonts w:eastAsia="Aptos" w:cs="Aptos"/>
                <w:sz w:val="20"/>
                <w:szCs w:val="20"/>
              </w:rPr>
              <w:lastRenderedPageBreak/>
              <w:t xml:space="preserve">zgodnie z </w:t>
            </w:r>
            <w:r w:rsidR="5B401727" w:rsidRPr="001941B0">
              <w:rPr>
                <w:rFonts w:eastAsia="Aptos" w:cs="Aptos"/>
                <w:sz w:val="20"/>
                <w:szCs w:val="20"/>
              </w:rPr>
              <w:t>§ 4 ust. 1-2</w:t>
            </w:r>
            <w:r w:rsidR="527E2DEE" w:rsidRPr="001941B0">
              <w:rPr>
                <w:rFonts w:eastAsia="Aptos" w:cs="Aptos"/>
                <w:sz w:val="20"/>
                <w:szCs w:val="20"/>
              </w:rPr>
              <w:t xml:space="preserve"> </w:t>
            </w:r>
            <w:r w:rsidR="5B401727" w:rsidRPr="001941B0">
              <w:rPr>
                <w:rFonts w:eastAsia="Aptos" w:cs="Aptos"/>
                <w:sz w:val="20"/>
                <w:szCs w:val="20"/>
              </w:rPr>
              <w:t>r</w:t>
            </w:r>
            <w:r w:rsidR="5B401727" w:rsidRPr="001941B0">
              <w:rPr>
                <w:rFonts w:eastAsia="Aptos" w:cs="Aptos"/>
                <w:color w:val="333333"/>
                <w:sz w:val="20"/>
                <w:szCs w:val="20"/>
              </w:rPr>
              <w:t xml:space="preserve">ozporządzenia Prezesa Rady Ministrów z dnia </w:t>
            </w:r>
            <w:r w:rsidR="5B401727" w:rsidRPr="001941B0">
              <w:rPr>
                <w:rFonts w:eastAsia="Noto Sans" w:cs="Noto Sans"/>
                <w:color w:val="333333"/>
                <w:sz w:val="20"/>
                <w:szCs w:val="20"/>
              </w:rPr>
              <w:t>20 czerwca 2002 r.</w:t>
            </w:r>
            <w:r w:rsidR="5B401727" w:rsidRPr="001941B0">
              <w:rPr>
                <w:rFonts w:eastAsia="Aptos" w:cs="Aptos"/>
                <w:sz w:val="20"/>
                <w:szCs w:val="20"/>
              </w:rPr>
              <w:t xml:space="preserve"> </w:t>
            </w:r>
            <w:r w:rsidR="5B401727" w:rsidRPr="001941B0">
              <w:rPr>
                <w:rFonts w:eastAsia="Aptos" w:cs="Aptos"/>
                <w:color w:val="333333"/>
                <w:sz w:val="20"/>
                <w:szCs w:val="20"/>
              </w:rPr>
              <w:t>w sprawie „Zasad techniki prawodawczej</w:t>
            </w:r>
            <w:r w:rsidR="492A3F85" w:rsidRPr="001941B0">
              <w:rPr>
                <w:rFonts w:eastAsia="Aptos" w:cs="Aptos"/>
                <w:color w:val="333333"/>
                <w:sz w:val="20"/>
                <w:szCs w:val="20"/>
              </w:rPr>
              <w:t xml:space="preserve">” </w:t>
            </w:r>
            <w:r w:rsidR="492A3F85" w:rsidRPr="001941B0">
              <w:rPr>
                <w:rFonts w:eastAsia="Aptos" w:cs="Aptos"/>
                <w:sz w:val="20"/>
                <w:szCs w:val="20"/>
              </w:rPr>
              <w:t xml:space="preserve">(Dz.U. z 2026 r. poz. 300) </w:t>
            </w:r>
            <w:r w:rsidR="5D62D4BB" w:rsidRPr="001941B0">
              <w:rPr>
                <w:rFonts w:eastAsia="Aptos" w:cs="Aptos"/>
                <w:sz w:val="20"/>
                <w:szCs w:val="20"/>
              </w:rPr>
              <w:t>ustawa nie może powtarzać przepisów zamieszczonych w innych ustawach. W ustawie nie powtarza się również postanowień umów międzynarodowych ratyfikowanych przez Rzeczpospolitą Polską oraz dających się bezpośrednio stosować postanowień aktów normatywnych ustanowionych przez organizacje międzynarodowe lub organy międzynarodowe.</w:t>
            </w:r>
          </w:p>
          <w:p w14:paraId="4882B3A9" w14:textId="7E8E7EC6" w:rsidR="008215FD" w:rsidRPr="001941B0" w:rsidRDefault="008215FD" w:rsidP="4E799236">
            <w:pPr>
              <w:autoSpaceDE w:val="0"/>
              <w:autoSpaceDN w:val="0"/>
              <w:adjustRightInd w:val="0"/>
              <w:spacing w:after="0" w:line="240" w:lineRule="auto"/>
              <w:rPr>
                <w:rFonts w:eastAsiaTheme="minorEastAsia"/>
                <w:sz w:val="20"/>
                <w:szCs w:val="20"/>
              </w:rPr>
            </w:pPr>
          </w:p>
          <w:p w14:paraId="02AC8DE6" w14:textId="0F7291A1" w:rsidR="008215FD" w:rsidRPr="001941B0" w:rsidRDefault="008215FD" w:rsidP="006E0CB2">
            <w:pPr>
              <w:autoSpaceDE w:val="0"/>
              <w:autoSpaceDN w:val="0"/>
              <w:adjustRightInd w:val="0"/>
              <w:spacing w:after="0" w:line="240" w:lineRule="auto"/>
              <w:rPr>
                <w:rFonts w:eastAsiaTheme="minorEastAsia"/>
                <w:sz w:val="20"/>
                <w:szCs w:val="20"/>
              </w:rPr>
            </w:pPr>
          </w:p>
        </w:tc>
      </w:tr>
      <w:tr w:rsidR="00FC7212" w:rsidRPr="001941B0" w14:paraId="432634AD" w14:textId="77777777" w:rsidTr="7139DBB9">
        <w:tc>
          <w:tcPr>
            <w:tcW w:w="1125" w:type="dxa"/>
            <w:shd w:val="clear" w:color="auto" w:fill="FFFFFF" w:themeFill="background1"/>
          </w:tcPr>
          <w:p w14:paraId="29353A77"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A10B6CD" w14:textId="55FE24CE" w:rsidR="007A516A" w:rsidRPr="001941B0" w:rsidRDefault="0080065B"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371FB7A8" w14:textId="77777777" w:rsidR="007A516A" w:rsidRPr="001941B0" w:rsidRDefault="0080065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5457C28D" w14:textId="77777777" w:rsidR="00130248" w:rsidRPr="001941B0" w:rsidRDefault="00130248" w:rsidP="006E0CB2">
            <w:pPr>
              <w:autoSpaceDE w:val="0"/>
              <w:autoSpaceDN w:val="0"/>
              <w:adjustRightInd w:val="0"/>
              <w:spacing w:after="0" w:line="240" w:lineRule="auto"/>
              <w:rPr>
                <w:rFonts w:eastAsiaTheme="minorEastAsia"/>
                <w:sz w:val="20"/>
                <w:szCs w:val="20"/>
              </w:rPr>
            </w:pPr>
          </w:p>
          <w:p w14:paraId="6E41D2ED" w14:textId="100BFFE9" w:rsidR="007A516A" w:rsidRPr="001941B0" w:rsidRDefault="007A516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3F051007" w14:textId="6D884727"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Naruszenie zasady minimalizacji danych (art. 5 ust. 1 lit. c RODO). </w:t>
            </w:r>
            <w:r w:rsidRPr="001941B0">
              <w:rPr>
                <w:sz w:val="20"/>
                <w:szCs w:val="20"/>
              </w:rPr>
              <w:t xml:space="preserve"> </w:t>
            </w:r>
            <w:r w:rsidRPr="001941B0">
              <w:rPr>
                <w:rFonts w:eastAsiaTheme="minorEastAsia"/>
                <w:sz w:val="20"/>
                <w:szCs w:val="20"/>
              </w:rPr>
              <w:t>Projekt dopuszcza przekazywanie szerokiego zakresu danych medycznych do systemów analitycznych bez:</w:t>
            </w:r>
          </w:p>
          <w:p w14:paraId="4044C48B" w14:textId="77777777"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określenia minimalnego zakresu danych,</w:t>
            </w:r>
          </w:p>
          <w:p w14:paraId="4FCDA385" w14:textId="77777777"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obowiązku uzasadnienia zakresu przetwarzania.</w:t>
            </w:r>
          </w:p>
          <w:p w14:paraId="725D58A3" w14:textId="77777777"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Wskazanie obowiązku uzasadnienia, dlaczego określony zestaw danych jest przetwarzany.</w:t>
            </w:r>
          </w:p>
          <w:p w14:paraId="6E45C30F" w14:textId="62F1106B"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Projekt ustawy dopuszcza przekazywanie danych medycznych do systemów analitycznych i narzędzi sztucznej inteligencji, ale nie określa w sposób precyzyjny, jaki jest minimalny zakres danych niezbędnych do ich działania. Im większy zakres przetwarzanych danych, tym większe konsekwencje ewentualnego incydentu bezpieczeństwa.</w:t>
            </w:r>
          </w:p>
        </w:tc>
        <w:tc>
          <w:tcPr>
            <w:tcW w:w="2855" w:type="dxa"/>
            <w:shd w:val="clear" w:color="auto" w:fill="FFFFFF" w:themeFill="background1"/>
          </w:tcPr>
          <w:p w14:paraId="16C39B29" w14:textId="77777777" w:rsidR="007A516A" w:rsidRPr="001941B0" w:rsidRDefault="000F65E9" w:rsidP="006704F5">
            <w:pPr>
              <w:autoSpaceDE w:val="0"/>
              <w:autoSpaceDN w:val="0"/>
              <w:adjustRightInd w:val="0"/>
              <w:spacing w:after="0" w:line="240" w:lineRule="auto"/>
              <w:rPr>
                <w:rFonts w:eastAsiaTheme="minorEastAsia"/>
                <w:b/>
                <w:sz w:val="20"/>
                <w:szCs w:val="20"/>
              </w:rPr>
            </w:pPr>
            <w:r w:rsidRPr="001941B0">
              <w:rPr>
                <w:rFonts w:eastAsiaTheme="minorEastAsia"/>
                <w:b/>
                <w:sz w:val="20"/>
                <w:szCs w:val="20"/>
              </w:rPr>
              <w:t xml:space="preserve">Uwaga </w:t>
            </w:r>
            <w:r w:rsidR="008F584A" w:rsidRPr="001941B0">
              <w:rPr>
                <w:rFonts w:eastAsiaTheme="minorEastAsia"/>
                <w:b/>
                <w:sz w:val="20"/>
                <w:szCs w:val="20"/>
              </w:rPr>
              <w:t>nie</w:t>
            </w:r>
            <w:r w:rsidRPr="001941B0">
              <w:rPr>
                <w:rFonts w:eastAsiaTheme="minorEastAsia"/>
                <w:b/>
                <w:sz w:val="20"/>
                <w:szCs w:val="20"/>
              </w:rPr>
              <w:t>uwzględniona</w:t>
            </w:r>
          </w:p>
          <w:p w14:paraId="0559051F" w14:textId="2421A769" w:rsidR="008F584A" w:rsidRPr="001941B0" w:rsidRDefault="4F26D1C7" w:rsidP="006704F5">
            <w:pPr>
              <w:autoSpaceDE w:val="0"/>
              <w:autoSpaceDN w:val="0"/>
              <w:adjustRightInd w:val="0"/>
              <w:spacing w:after="0" w:line="240" w:lineRule="auto"/>
              <w:rPr>
                <w:rFonts w:eastAsiaTheme="minorEastAsia"/>
                <w:sz w:val="20"/>
                <w:szCs w:val="20"/>
              </w:rPr>
            </w:pPr>
            <w:r w:rsidRPr="001941B0">
              <w:rPr>
                <w:rFonts w:eastAsiaTheme="minorEastAsia"/>
                <w:sz w:val="20"/>
                <w:szCs w:val="20"/>
              </w:rPr>
              <w:t>W</w:t>
            </w:r>
            <w:r w:rsidR="00C26886" w:rsidRPr="001941B0">
              <w:rPr>
                <w:rFonts w:eastAsiaTheme="minorEastAsia"/>
                <w:sz w:val="20"/>
                <w:szCs w:val="20"/>
              </w:rPr>
              <w:t xml:space="preserve"> </w:t>
            </w:r>
            <w:r w:rsidRPr="001941B0">
              <w:rPr>
                <w:rFonts w:eastAsiaTheme="minorEastAsia"/>
                <w:sz w:val="20"/>
                <w:szCs w:val="20"/>
              </w:rPr>
              <w:t>zakresie zastosowania katalogu otwartego w art. 31d ust. 2 pkt 5 ustawy o</w:t>
            </w:r>
            <w:r w:rsidR="009660D7" w:rsidRPr="001941B0">
              <w:rPr>
                <w:rFonts w:eastAsiaTheme="minorEastAsia"/>
                <w:sz w:val="20"/>
                <w:szCs w:val="20"/>
              </w:rPr>
              <w:t xml:space="preserve"> </w:t>
            </w:r>
            <w:r w:rsidRPr="001941B0">
              <w:rPr>
                <w:rFonts w:eastAsiaTheme="minorEastAsia"/>
                <w:sz w:val="20"/>
                <w:szCs w:val="20"/>
              </w:rPr>
              <w:t>systemie informacji, wyjaśniamy, że zaproponowane brzmienie pkt 5 nie</w:t>
            </w:r>
            <w:r w:rsidR="009660D7" w:rsidRPr="001941B0">
              <w:rPr>
                <w:rFonts w:eastAsiaTheme="minorEastAsia"/>
                <w:sz w:val="20"/>
                <w:szCs w:val="20"/>
              </w:rPr>
              <w:t xml:space="preserve"> </w:t>
            </w:r>
            <w:r w:rsidRPr="001941B0">
              <w:rPr>
                <w:rFonts w:eastAsiaTheme="minorEastAsia"/>
                <w:sz w:val="20"/>
                <w:szCs w:val="20"/>
              </w:rPr>
              <w:t xml:space="preserve">stanowi klasycznego katalogu otwartego w sensie dowolności danych w nim ujętych, gdyż zakres danych jest ograniczony celem ich przetwarzania. W PUI przetwarzane będą bowiem jednostkowe dane medyczne obejmujące dane obrazowe oraz inne dane mające wpływ na wynik diagnostyki, np. </w:t>
            </w:r>
            <w:r w:rsidRPr="001941B0">
              <w:rPr>
                <w:rFonts w:eastAsiaTheme="minorEastAsia"/>
                <w:sz w:val="20"/>
                <w:szCs w:val="20"/>
              </w:rPr>
              <w:lastRenderedPageBreak/>
              <w:t>wyniki innych badań diagnostycznych. Kluczowym celem PUI jest bowiem przygotowanie wyniku analizy badań obrazowych w sposób jak najbardziej rzetelny i przydatny</w:t>
            </w:r>
            <w:r w:rsidR="00F46CF5" w:rsidRPr="001941B0">
              <w:rPr>
                <w:rFonts w:eastAsiaTheme="minorEastAsia"/>
                <w:sz w:val="20"/>
                <w:szCs w:val="20"/>
              </w:rPr>
              <w:t xml:space="preserve"> </w:t>
            </w:r>
            <w:r w:rsidRPr="001941B0">
              <w:rPr>
                <w:rFonts w:eastAsiaTheme="minorEastAsia"/>
                <w:sz w:val="20"/>
                <w:szCs w:val="20"/>
              </w:rPr>
              <w:t xml:space="preserve">dla lekarza lub elektroradiologa. Podkreślić przy tym należy, że przetwarzane mogą być wyłącznie dane, które pozostają w związku z procesem diagnostycznym i mogą mieć wpływ na sporządzenie prawidłowej analizy badań obrazowych. Określenie bowiem zakresu danych poprzez kryterium ich związku z wpływem na wynik diagnostyki obrazowej jest uzasadnionym rozwiązaniem, które pozwala zapewnić prawidłowe funkcjonowanie całego procesu sporządzania wyników analizy badań obrazowych przy </w:t>
            </w:r>
            <w:r w:rsidR="507201D4" w:rsidRPr="001941B0">
              <w:rPr>
                <w:rFonts w:eastAsiaTheme="minorEastAsia"/>
                <w:sz w:val="20"/>
                <w:szCs w:val="20"/>
              </w:rPr>
              <w:t>jednoczesnym zachowaniu</w:t>
            </w:r>
            <w:r w:rsidRPr="001941B0">
              <w:rPr>
                <w:rFonts w:eastAsiaTheme="minorEastAsia"/>
                <w:sz w:val="20"/>
                <w:szCs w:val="20"/>
              </w:rPr>
              <w:t xml:space="preserve"> zasad ochrony danych osobowych. Należy przy tym zauważyć, że</w:t>
            </w:r>
            <w:r w:rsidR="7F09A518" w:rsidRPr="001941B0">
              <w:rPr>
                <w:rFonts w:eastAsiaTheme="minorEastAsia"/>
                <w:sz w:val="20"/>
                <w:szCs w:val="20"/>
              </w:rPr>
              <w:t xml:space="preserve"> </w:t>
            </w:r>
            <w:r w:rsidRPr="001941B0">
              <w:rPr>
                <w:rFonts w:eastAsiaTheme="minorEastAsia"/>
                <w:sz w:val="20"/>
                <w:szCs w:val="20"/>
              </w:rPr>
              <w:t xml:space="preserve">nie jest możliwe sporządzenie </w:t>
            </w:r>
            <w:r w:rsidRPr="001941B0">
              <w:rPr>
                <w:rFonts w:eastAsiaTheme="minorEastAsia"/>
                <w:i/>
                <w:sz w:val="20"/>
                <w:szCs w:val="20"/>
              </w:rPr>
              <w:t>ex ante</w:t>
            </w:r>
            <w:r w:rsidRPr="001941B0">
              <w:rPr>
                <w:rFonts w:eastAsiaTheme="minorEastAsia"/>
                <w:sz w:val="20"/>
                <w:szCs w:val="20"/>
              </w:rPr>
              <w:t xml:space="preserve"> wykazu danych, które mogą mieć wpływ</w:t>
            </w:r>
            <w:r w:rsidR="568854CA" w:rsidRPr="001941B0">
              <w:rPr>
                <w:rFonts w:eastAsiaTheme="minorEastAsia"/>
                <w:sz w:val="20"/>
                <w:szCs w:val="20"/>
              </w:rPr>
              <w:t xml:space="preserve"> </w:t>
            </w:r>
            <w:r w:rsidRPr="001941B0">
              <w:rPr>
                <w:rFonts w:eastAsiaTheme="minorEastAsia"/>
                <w:sz w:val="20"/>
                <w:szCs w:val="20"/>
              </w:rPr>
              <w:t>na sporządzenie wyników analizy badań obrazowych. Przykładowo mogą to być</w:t>
            </w:r>
            <w:r w:rsidR="69398267" w:rsidRPr="001941B0">
              <w:rPr>
                <w:rFonts w:eastAsiaTheme="minorEastAsia"/>
                <w:sz w:val="20"/>
                <w:szCs w:val="20"/>
              </w:rPr>
              <w:t xml:space="preserve"> </w:t>
            </w:r>
            <w:r w:rsidRPr="001941B0">
              <w:rPr>
                <w:rFonts w:eastAsiaTheme="minorEastAsia"/>
                <w:sz w:val="20"/>
                <w:szCs w:val="20"/>
              </w:rPr>
              <w:t xml:space="preserve">zarówno choroby współistniejące, wyniki </w:t>
            </w:r>
            <w:r w:rsidRPr="001941B0">
              <w:rPr>
                <w:rFonts w:eastAsiaTheme="minorEastAsia"/>
                <w:sz w:val="20"/>
                <w:szCs w:val="20"/>
              </w:rPr>
              <w:lastRenderedPageBreak/>
              <w:t>wcześniejszych badań, aktualny stan</w:t>
            </w:r>
            <w:r w:rsidR="448FF3AC" w:rsidRPr="001941B0">
              <w:rPr>
                <w:rFonts w:eastAsiaTheme="minorEastAsia"/>
                <w:sz w:val="20"/>
                <w:szCs w:val="20"/>
              </w:rPr>
              <w:t xml:space="preserve"> </w:t>
            </w:r>
            <w:r w:rsidRPr="001941B0">
              <w:rPr>
                <w:rFonts w:eastAsiaTheme="minorEastAsia"/>
                <w:sz w:val="20"/>
                <w:szCs w:val="20"/>
              </w:rPr>
              <w:t>kliniczny pacjenta, a nawet czynniki środowiskowe lub dotyczące stylu życia.</w:t>
            </w:r>
          </w:p>
        </w:tc>
      </w:tr>
      <w:tr w:rsidR="00FC7212" w:rsidRPr="001941B0" w14:paraId="160A160A" w14:textId="77777777" w:rsidTr="7139DBB9">
        <w:tc>
          <w:tcPr>
            <w:tcW w:w="1125" w:type="dxa"/>
            <w:shd w:val="clear" w:color="auto" w:fill="FFFFFF" w:themeFill="background1"/>
          </w:tcPr>
          <w:p w14:paraId="2BBFB674"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4C73F4D" w14:textId="11D6C3C3" w:rsidR="007A516A" w:rsidRPr="001941B0" w:rsidRDefault="0080065B"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351F7206" w14:textId="77777777"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746C933A"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1AD471E6" w14:textId="2D1F87D3" w:rsidR="007A516A" w:rsidRPr="001941B0" w:rsidRDefault="007A516A" w:rsidP="006E0CB2">
            <w:pPr>
              <w:autoSpaceDE w:val="0"/>
              <w:autoSpaceDN w:val="0"/>
              <w:adjustRightInd w:val="0"/>
              <w:spacing w:after="0" w:line="240" w:lineRule="auto"/>
              <w:rPr>
                <w:rFonts w:eastAsiaTheme="minorEastAsia"/>
                <w:b/>
                <w:sz w:val="20"/>
                <w:szCs w:val="20"/>
              </w:rPr>
            </w:pPr>
          </w:p>
        </w:tc>
        <w:tc>
          <w:tcPr>
            <w:tcW w:w="5652" w:type="dxa"/>
            <w:shd w:val="clear" w:color="auto" w:fill="FFFFFF" w:themeFill="background1"/>
          </w:tcPr>
          <w:p w14:paraId="11D27664" w14:textId="77777777"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podstawy prawnej przetwarzania danych do trenowania AI (RODO art. 6 i 9). </w:t>
            </w:r>
            <w:r w:rsidRPr="001941B0">
              <w:rPr>
                <w:sz w:val="20"/>
                <w:szCs w:val="20"/>
              </w:rPr>
              <w:t xml:space="preserve"> </w:t>
            </w:r>
            <w:r w:rsidRPr="001941B0">
              <w:rPr>
                <w:rFonts w:eastAsiaTheme="minorEastAsia"/>
                <w:sz w:val="20"/>
                <w:szCs w:val="20"/>
              </w:rPr>
              <w:t>Projekt nie wskazuje jednoznacznie, czy dane medyczne przetwarzane w systemach e-zdrowia mogą być wykorzystywane do trenowania modeli analitycznych lub algorytmów AI.</w:t>
            </w:r>
          </w:p>
          <w:p w14:paraId="69CD81C2" w14:textId="77777777"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Określenie, czy wykorzystanie danych mieści się w celach udzielania świadczeń zdrowotnych, czy stanowi odrębny cel wymagający wyraźnej podstawy prawnej oraz dodatkowych zabezpieczeń.</w:t>
            </w:r>
          </w:p>
          <w:p w14:paraId="63224105" w14:textId="474B9122"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Uzasadnienie:   Brak określenia podstawy prawnej takiego przetwarzania może prowadzić do naruszenia art. 6 i art. 9 RODO.</w:t>
            </w:r>
          </w:p>
        </w:tc>
        <w:tc>
          <w:tcPr>
            <w:tcW w:w="2855" w:type="dxa"/>
            <w:shd w:val="clear" w:color="auto" w:fill="FFFFFF" w:themeFill="background1"/>
          </w:tcPr>
          <w:p w14:paraId="12E53A49" w14:textId="03A417AD" w:rsidR="007A516A" w:rsidRPr="001941B0" w:rsidRDefault="004517F1"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0E358217" w14:textId="1D93234E" w:rsidR="006635A7" w:rsidRPr="001941B0" w:rsidRDefault="0041418F" w:rsidP="00FA17A9">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Zapisy </w:t>
            </w:r>
            <w:r w:rsidR="005951ED" w:rsidRPr="001941B0">
              <w:rPr>
                <w:rFonts w:eastAsiaTheme="minorEastAsia"/>
                <w:sz w:val="20"/>
                <w:szCs w:val="20"/>
              </w:rPr>
              <w:t>projektowanej</w:t>
            </w:r>
            <w:r w:rsidRPr="001941B0">
              <w:rPr>
                <w:rFonts w:eastAsiaTheme="minorEastAsia"/>
                <w:sz w:val="20"/>
                <w:szCs w:val="20"/>
              </w:rPr>
              <w:t xml:space="preserve"> ustawy prze</w:t>
            </w:r>
            <w:r w:rsidR="005951ED" w:rsidRPr="001941B0">
              <w:rPr>
                <w:rFonts w:eastAsiaTheme="minorEastAsia"/>
                <w:sz w:val="20"/>
                <w:szCs w:val="20"/>
              </w:rPr>
              <w:t xml:space="preserve">widują </w:t>
            </w:r>
            <w:r w:rsidR="009C6919" w:rsidRPr="001941B0">
              <w:rPr>
                <w:rFonts w:eastAsiaTheme="minorEastAsia"/>
                <w:sz w:val="20"/>
                <w:szCs w:val="20"/>
              </w:rPr>
              <w:t>przetwarzani</w:t>
            </w:r>
            <w:r w:rsidR="001129FF" w:rsidRPr="001941B0">
              <w:rPr>
                <w:rFonts w:eastAsiaTheme="minorEastAsia"/>
                <w:sz w:val="20"/>
                <w:szCs w:val="20"/>
              </w:rPr>
              <w:t>e</w:t>
            </w:r>
            <w:r w:rsidR="00621B7F" w:rsidRPr="001941B0">
              <w:rPr>
                <w:rFonts w:eastAsiaTheme="minorEastAsia"/>
                <w:sz w:val="20"/>
                <w:szCs w:val="20"/>
              </w:rPr>
              <w:t xml:space="preserve"> </w:t>
            </w:r>
            <w:r w:rsidR="00574AE6" w:rsidRPr="001941B0">
              <w:rPr>
                <w:rFonts w:eastAsiaTheme="minorEastAsia"/>
                <w:sz w:val="20"/>
                <w:szCs w:val="20"/>
              </w:rPr>
              <w:t xml:space="preserve">danych </w:t>
            </w:r>
            <w:r w:rsidR="00B825FA" w:rsidRPr="001941B0">
              <w:rPr>
                <w:rFonts w:eastAsiaTheme="minorEastAsia"/>
                <w:sz w:val="20"/>
                <w:szCs w:val="20"/>
              </w:rPr>
              <w:t>obrazowych</w:t>
            </w:r>
            <w:r w:rsidR="00574AE6" w:rsidRPr="001941B0">
              <w:rPr>
                <w:rFonts w:eastAsiaTheme="minorEastAsia"/>
                <w:sz w:val="20"/>
                <w:szCs w:val="20"/>
              </w:rPr>
              <w:t xml:space="preserve"> </w:t>
            </w:r>
            <w:r w:rsidR="009F0ED5" w:rsidRPr="001941B0">
              <w:rPr>
                <w:rFonts w:eastAsiaTheme="minorEastAsia"/>
                <w:sz w:val="20"/>
                <w:szCs w:val="20"/>
              </w:rPr>
              <w:t>przez narzędzia wspomagające</w:t>
            </w:r>
            <w:r w:rsidR="5B4CBD62" w:rsidRPr="001941B0">
              <w:rPr>
                <w:rFonts w:eastAsiaTheme="minorEastAsia"/>
                <w:sz w:val="20"/>
                <w:szCs w:val="20"/>
              </w:rPr>
              <w:t>.</w:t>
            </w:r>
            <w:r w:rsidR="009F0ED5" w:rsidRPr="001941B0">
              <w:rPr>
                <w:rFonts w:eastAsiaTheme="minorEastAsia"/>
                <w:sz w:val="20"/>
                <w:szCs w:val="20"/>
              </w:rPr>
              <w:t xml:space="preserve"> po ich an</w:t>
            </w:r>
            <w:r w:rsidR="00151D0A" w:rsidRPr="001941B0">
              <w:rPr>
                <w:rFonts w:eastAsiaTheme="minorEastAsia"/>
                <w:sz w:val="20"/>
                <w:szCs w:val="20"/>
              </w:rPr>
              <w:t>on</w:t>
            </w:r>
            <w:r w:rsidR="009F0ED5" w:rsidRPr="001941B0">
              <w:rPr>
                <w:rFonts w:eastAsiaTheme="minorEastAsia"/>
                <w:sz w:val="20"/>
                <w:szCs w:val="20"/>
              </w:rPr>
              <w:t>imizacji</w:t>
            </w:r>
            <w:r w:rsidR="16B5347B" w:rsidRPr="001941B0">
              <w:rPr>
                <w:rFonts w:eastAsiaTheme="minorEastAsia"/>
                <w:sz w:val="20"/>
                <w:szCs w:val="20"/>
              </w:rPr>
              <w:t xml:space="preserve">.  </w:t>
            </w:r>
          </w:p>
          <w:p w14:paraId="7ADEB30F" w14:textId="77777777" w:rsidR="00352C79" w:rsidRPr="001941B0" w:rsidRDefault="00352C79" w:rsidP="00FA17A9">
            <w:pPr>
              <w:autoSpaceDE w:val="0"/>
              <w:autoSpaceDN w:val="0"/>
              <w:adjustRightInd w:val="0"/>
              <w:spacing w:after="0" w:line="240" w:lineRule="auto"/>
              <w:rPr>
                <w:rFonts w:eastAsiaTheme="minorEastAsia"/>
                <w:sz w:val="20"/>
                <w:szCs w:val="20"/>
              </w:rPr>
            </w:pPr>
          </w:p>
          <w:p w14:paraId="415BC106" w14:textId="11A0FCB2" w:rsidR="0019627E" w:rsidRPr="001941B0" w:rsidRDefault="0019627E" w:rsidP="00FA17A9">
            <w:pPr>
              <w:autoSpaceDE w:val="0"/>
              <w:autoSpaceDN w:val="0"/>
              <w:adjustRightInd w:val="0"/>
              <w:spacing w:after="0" w:line="240" w:lineRule="auto"/>
              <w:rPr>
                <w:rFonts w:eastAsiaTheme="minorEastAsia"/>
                <w:sz w:val="20"/>
                <w:szCs w:val="20"/>
              </w:rPr>
            </w:pPr>
          </w:p>
          <w:p w14:paraId="62EF515E" w14:textId="001EC613" w:rsidR="00EE7223" w:rsidRPr="001941B0" w:rsidRDefault="00EE7223" w:rsidP="00FA17A9">
            <w:pPr>
              <w:autoSpaceDE w:val="0"/>
              <w:autoSpaceDN w:val="0"/>
              <w:adjustRightInd w:val="0"/>
              <w:spacing w:after="0" w:line="240" w:lineRule="auto"/>
              <w:rPr>
                <w:rFonts w:eastAsiaTheme="minorEastAsia"/>
                <w:sz w:val="20"/>
                <w:szCs w:val="20"/>
              </w:rPr>
            </w:pPr>
          </w:p>
          <w:p w14:paraId="080DEF3E" w14:textId="77777777" w:rsidR="0019627E" w:rsidRPr="001941B0" w:rsidRDefault="0019627E" w:rsidP="00FA17A9">
            <w:pPr>
              <w:autoSpaceDE w:val="0"/>
              <w:autoSpaceDN w:val="0"/>
              <w:adjustRightInd w:val="0"/>
              <w:spacing w:after="0" w:line="240" w:lineRule="auto"/>
              <w:rPr>
                <w:rFonts w:eastAsiaTheme="minorEastAsia"/>
                <w:sz w:val="20"/>
                <w:szCs w:val="20"/>
              </w:rPr>
            </w:pPr>
          </w:p>
          <w:p w14:paraId="659E518E" w14:textId="77777777" w:rsidR="00A47502" w:rsidRPr="001941B0" w:rsidRDefault="00A47502" w:rsidP="00FA17A9">
            <w:pPr>
              <w:autoSpaceDE w:val="0"/>
              <w:autoSpaceDN w:val="0"/>
              <w:adjustRightInd w:val="0"/>
              <w:spacing w:after="0" w:line="240" w:lineRule="auto"/>
              <w:rPr>
                <w:rFonts w:eastAsiaTheme="minorEastAsia"/>
                <w:sz w:val="20"/>
                <w:szCs w:val="20"/>
              </w:rPr>
            </w:pPr>
          </w:p>
          <w:p w14:paraId="34254D0F" w14:textId="323FCCE5" w:rsidR="006635A7" w:rsidRPr="001941B0" w:rsidRDefault="006635A7" w:rsidP="00EE3606">
            <w:pPr>
              <w:autoSpaceDE w:val="0"/>
              <w:autoSpaceDN w:val="0"/>
              <w:adjustRightInd w:val="0"/>
              <w:spacing w:after="0" w:line="240" w:lineRule="auto"/>
              <w:rPr>
                <w:rFonts w:eastAsiaTheme="minorEastAsia"/>
                <w:sz w:val="20"/>
                <w:szCs w:val="20"/>
              </w:rPr>
            </w:pPr>
          </w:p>
        </w:tc>
      </w:tr>
      <w:tr w:rsidR="00FC7212" w:rsidRPr="001941B0" w14:paraId="70FE532C" w14:textId="77777777" w:rsidTr="7139DBB9">
        <w:tc>
          <w:tcPr>
            <w:tcW w:w="1125" w:type="dxa"/>
            <w:shd w:val="clear" w:color="auto" w:fill="FFFFFF" w:themeFill="background1"/>
          </w:tcPr>
          <w:p w14:paraId="09BE9727"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FB97986" w14:textId="7720C9E8" w:rsidR="007A516A" w:rsidRPr="001941B0" w:rsidRDefault="0080065B"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04B72A3A" w14:textId="77777777"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624EFD81"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3977F906" w14:textId="5709E828" w:rsidR="007A516A" w:rsidRPr="001941B0" w:rsidRDefault="007A516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19726857" w14:textId="1B73A99D"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rozróżnienia ról: administrator, podmiot przetwarzający, dostawca AI. </w:t>
            </w:r>
            <w:r w:rsidRPr="001941B0">
              <w:rPr>
                <w:sz w:val="20"/>
                <w:szCs w:val="20"/>
              </w:rPr>
              <w:t xml:space="preserve"> </w:t>
            </w:r>
            <w:r w:rsidRPr="001941B0">
              <w:rPr>
                <w:rFonts w:eastAsiaTheme="minorEastAsia"/>
                <w:sz w:val="20"/>
                <w:szCs w:val="20"/>
              </w:rPr>
              <w:t>Brak jednoznacznego określenia ról w przetwarzaniu danych (RODO art. 4 pkt 7–8). Projekt nie wskazuje, który podmiot jest administratorem danych, a który podmiot przetwarzającym w kontekście systemów AI. W szczególności brak jest wskazania roli operatora systemu centralnego jako podmiotu wdrażającego i wykorzystującego system AI (tzw. deployera w rozumieniu AI Act).</w:t>
            </w:r>
          </w:p>
          <w:p w14:paraId="442207CF" w14:textId="77777777"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Doprecyzowanie kto odpowiada za dane. Nie wiadomo kto jest: administratorem danych, operatorem AI, dostawcą systemu.</w:t>
            </w:r>
          </w:p>
          <w:p w14:paraId="4A993205" w14:textId="36782130"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Gdy</w:t>
            </w:r>
            <w:r w:rsidRPr="001941B0">
              <w:rPr>
                <w:rFonts w:eastAsiaTheme="minorEastAsia"/>
                <w:sz w:val="20"/>
                <w:szCs w:val="20"/>
              </w:rPr>
              <w:t xml:space="preserve"> AI się pomyli nie wiadomo kto będzie odpowiadał za pomyłkę.</w:t>
            </w:r>
          </w:p>
        </w:tc>
        <w:tc>
          <w:tcPr>
            <w:tcW w:w="2855" w:type="dxa"/>
            <w:shd w:val="clear" w:color="auto" w:fill="FFFFFF" w:themeFill="background1"/>
          </w:tcPr>
          <w:p w14:paraId="4D753CCC" w14:textId="3A2022CA" w:rsidR="00E0290E" w:rsidRPr="001941B0" w:rsidRDefault="0063489B" w:rsidP="1B5FDD98">
            <w:pPr>
              <w:autoSpaceDE w:val="0"/>
              <w:autoSpaceDN w:val="0"/>
              <w:adjustRightInd w:val="0"/>
              <w:spacing w:after="0" w:line="240" w:lineRule="auto"/>
              <w:rPr>
                <w:rFonts w:eastAsiaTheme="minorEastAsia"/>
                <w:b/>
                <w:sz w:val="20"/>
                <w:szCs w:val="20"/>
              </w:rPr>
            </w:pPr>
            <w:r w:rsidRPr="001941B0">
              <w:rPr>
                <w:rFonts w:eastAsiaTheme="minorEastAsia"/>
                <w:b/>
                <w:sz w:val="20"/>
                <w:szCs w:val="20"/>
              </w:rPr>
              <w:t xml:space="preserve">Uwaga </w:t>
            </w:r>
            <w:r w:rsidR="11AA227D" w:rsidRPr="001941B0">
              <w:rPr>
                <w:rFonts w:eastAsiaTheme="minorEastAsia"/>
                <w:b/>
                <w:bCs/>
                <w:sz w:val="20"/>
                <w:szCs w:val="20"/>
              </w:rPr>
              <w:t xml:space="preserve">częściowo </w:t>
            </w:r>
            <w:r w:rsidR="00DB62E9" w:rsidRPr="001941B0">
              <w:rPr>
                <w:rFonts w:eastAsiaTheme="minorEastAsia"/>
                <w:b/>
                <w:sz w:val="20"/>
                <w:szCs w:val="20"/>
              </w:rPr>
              <w:t>uwzględniona</w:t>
            </w:r>
            <w:r w:rsidR="005C7524" w:rsidRPr="001941B0">
              <w:rPr>
                <w:rFonts w:eastAsiaTheme="minorEastAsia"/>
                <w:b/>
                <w:sz w:val="20"/>
                <w:szCs w:val="20"/>
              </w:rPr>
              <w:t xml:space="preserve"> </w:t>
            </w:r>
            <w:r w:rsidR="0074589D" w:rsidRPr="001941B0">
              <w:rPr>
                <w:rFonts w:eastAsiaTheme="minorEastAsia"/>
                <w:b/>
                <w:sz w:val="20"/>
                <w:szCs w:val="20"/>
              </w:rPr>
              <w:t xml:space="preserve">w zakresie doprecyzowania przetwarzania. </w:t>
            </w:r>
          </w:p>
          <w:p w14:paraId="1BFDE0AD" w14:textId="7A522955" w:rsidR="0074589D" w:rsidRPr="001941B0" w:rsidRDefault="005358ED" w:rsidP="1B5FDD98">
            <w:pPr>
              <w:autoSpaceDE w:val="0"/>
              <w:autoSpaceDN w:val="0"/>
              <w:adjustRightInd w:val="0"/>
              <w:spacing w:after="0" w:line="240" w:lineRule="auto"/>
              <w:rPr>
                <w:rFonts w:eastAsiaTheme="minorEastAsia"/>
                <w:b/>
                <w:bCs/>
                <w:sz w:val="20"/>
                <w:szCs w:val="20"/>
              </w:rPr>
            </w:pPr>
            <w:r w:rsidRPr="001941B0">
              <w:rPr>
                <w:rFonts w:eastAsiaTheme="minorEastAsia"/>
                <w:b/>
                <w:sz w:val="20"/>
                <w:szCs w:val="20"/>
              </w:rPr>
              <w:t xml:space="preserve">W zakresie wskazania podmiotów właściwych zostało to jasno opisane w projekcie. </w:t>
            </w:r>
          </w:p>
          <w:p w14:paraId="311068AA" w14:textId="7607BAF1" w:rsidR="1B5FDD98" w:rsidRPr="001941B0" w:rsidRDefault="1B5FDD98" w:rsidP="1B5FDD98">
            <w:pPr>
              <w:spacing w:after="0" w:line="240" w:lineRule="auto"/>
              <w:rPr>
                <w:rFonts w:eastAsiaTheme="minorEastAsia"/>
                <w:sz w:val="20"/>
                <w:szCs w:val="20"/>
              </w:rPr>
            </w:pPr>
          </w:p>
          <w:p w14:paraId="7E3FCB15" w14:textId="66C7797A" w:rsidR="4B866D82" w:rsidRPr="001941B0" w:rsidRDefault="4B866D82" w:rsidP="4B866D82">
            <w:pPr>
              <w:spacing w:after="0" w:line="240" w:lineRule="auto"/>
              <w:rPr>
                <w:rFonts w:eastAsiaTheme="minorEastAsia"/>
                <w:sz w:val="20"/>
                <w:szCs w:val="20"/>
              </w:rPr>
            </w:pPr>
          </w:p>
          <w:p w14:paraId="7220D7A9" w14:textId="25CAA525" w:rsidR="007A516A" w:rsidRPr="001941B0" w:rsidRDefault="007A516A" w:rsidP="00DB62E9">
            <w:pPr>
              <w:autoSpaceDE w:val="0"/>
              <w:autoSpaceDN w:val="0"/>
              <w:adjustRightInd w:val="0"/>
              <w:spacing w:after="0" w:line="240" w:lineRule="auto"/>
              <w:rPr>
                <w:rFonts w:eastAsiaTheme="minorEastAsia"/>
                <w:sz w:val="20"/>
                <w:szCs w:val="20"/>
              </w:rPr>
            </w:pPr>
          </w:p>
        </w:tc>
      </w:tr>
      <w:tr w:rsidR="00FC7212" w:rsidRPr="001941B0" w14:paraId="276186EF" w14:textId="77777777" w:rsidTr="7139DBB9">
        <w:tc>
          <w:tcPr>
            <w:tcW w:w="1125" w:type="dxa"/>
            <w:shd w:val="clear" w:color="auto" w:fill="FFFFFF" w:themeFill="background1"/>
          </w:tcPr>
          <w:p w14:paraId="67C9A4A9" w14:textId="77777777" w:rsidR="007A516A" w:rsidRPr="001941B0" w:rsidRDefault="007A516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DBED3F7" w14:textId="3FEEC0B8" w:rsidR="007A516A" w:rsidRPr="001941B0" w:rsidRDefault="0080065B"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2728B9CE" w14:textId="77777777"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4DFB0D9E"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5CD68C23" w14:textId="7E24A09A" w:rsidR="007A516A" w:rsidRPr="001941B0" w:rsidRDefault="007A516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70714771" w14:textId="77777777" w:rsidR="007A516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obowiązku informowania pacjenta o wykorzystaniu systemów sztucznej inteligencji. </w:t>
            </w:r>
            <w:r w:rsidRPr="001941B0">
              <w:rPr>
                <w:sz w:val="20"/>
                <w:szCs w:val="20"/>
              </w:rPr>
              <w:t xml:space="preserve"> </w:t>
            </w:r>
            <w:r w:rsidRPr="001941B0">
              <w:rPr>
                <w:rFonts w:eastAsiaTheme="minorEastAsia"/>
                <w:sz w:val="20"/>
                <w:szCs w:val="20"/>
              </w:rPr>
              <w:t>Brak obowiązku informowania pacjenta o wykorzystaniu AI. Projekt nie przewiduje obowiązku informowania pacjenta, że jego dane są analizowane przez system AI lub że diagnoza była wspomagana przez AI.</w:t>
            </w:r>
          </w:p>
          <w:p w14:paraId="1836EB24" w14:textId="77777777"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Propozycja: </w:t>
            </w:r>
            <w:r w:rsidRPr="001941B0">
              <w:rPr>
                <w:sz w:val="20"/>
                <w:szCs w:val="20"/>
              </w:rPr>
              <w:t xml:space="preserve"> </w:t>
            </w:r>
            <w:r w:rsidRPr="001941B0">
              <w:rPr>
                <w:rFonts w:eastAsiaTheme="minorEastAsia"/>
                <w:sz w:val="20"/>
                <w:szCs w:val="20"/>
              </w:rPr>
              <w:t>Dodanie przepisu, który wymagałby poinformowania pacjenta, że w jego diagnostyce użyto sztucznej inteligencji (np. wskazuje na to kodeks etyki lekarskiej, Art.. 12).</w:t>
            </w:r>
          </w:p>
          <w:p w14:paraId="2DCAF9A7" w14:textId="117FD885" w:rsidR="00FB2C3A" w:rsidRPr="001941B0" w:rsidRDefault="00FB2C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Może rodzić nieporozumienia i problemy prawne.</w:t>
            </w:r>
          </w:p>
        </w:tc>
        <w:tc>
          <w:tcPr>
            <w:tcW w:w="2855" w:type="dxa"/>
            <w:shd w:val="clear" w:color="auto" w:fill="FFFFFF" w:themeFill="background1"/>
          </w:tcPr>
          <w:p w14:paraId="79AE746F" w14:textId="600A0511" w:rsidR="004D7009" w:rsidRPr="001941B0" w:rsidRDefault="004D7009" w:rsidP="004D7009">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lastRenderedPageBreak/>
              <w:t>Wyjaśnienie</w:t>
            </w:r>
          </w:p>
          <w:p w14:paraId="34B5B272" w14:textId="7E414262" w:rsidR="004D7009" w:rsidRPr="001941B0" w:rsidRDefault="004D7009" w:rsidP="004D7009">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Odpowiedzialność wynika z ogólnych zasad dotyczących prawa wykonywania zawodu lekarza – lekarz bazując na aktualnej wiedzy medycznej </w:t>
            </w:r>
            <w:r w:rsidRPr="001941B0">
              <w:rPr>
                <w:rFonts w:eastAsiaTheme="minorEastAsia"/>
                <w:sz w:val="20"/>
                <w:szCs w:val="20"/>
              </w:rPr>
              <w:lastRenderedPageBreak/>
              <w:t>odpowiada za proces diagnostyki i leczenia w tym informowania pacjenta.</w:t>
            </w:r>
          </w:p>
          <w:p w14:paraId="398B9D73" w14:textId="77777777" w:rsidR="004D7009" w:rsidRPr="001941B0" w:rsidRDefault="004D7009" w:rsidP="004D7009">
            <w:pPr>
              <w:autoSpaceDE w:val="0"/>
              <w:autoSpaceDN w:val="0"/>
              <w:adjustRightInd w:val="0"/>
              <w:spacing w:after="0" w:line="240" w:lineRule="auto"/>
              <w:rPr>
                <w:rFonts w:eastAsiaTheme="minorEastAsia"/>
                <w:sz w:val="20"/>
                <w:szCs w:val="20"/>
              </w:rPr>
            </w:pPr>
            <w:r w:rsidRPr="001941B0">
              <w:rPr>
                <w:rFonts w:eastAsiaTheme="minorEastAsia"/>
                <w:sz w:val="20"/>
                <w:szCs w:val="20"/>
              </w:rPr>
              <w:t>Kwestia uregulowania odpowiedzialności za korzystanie z systemów AI jest poza zakresem projektowanych regulacji.</w:t>
            </w:r>
          </w:p>
          <w:p w14:paraId="5ED83476" w14:textId="3C241D0B" w:rsidR="007A516A" w:rsidRPr="001941B0" w:rsidRDefault="004D700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Projekt nie przewiduje możliwości zatwierdzania opisów badań obrazowych bez udziału lekarza – ostatecznie powstaje dokumentacja elektroniczna podpisana przez lekarza.</w:t>
            </w:r>
          </w:p>
        </w:tc>
      </w:tr>
      <w:tr w:rsidR="00FC7212" w:rsidRPr="001941B0" w14:paraId="29116BFC" w14:textId="77777777" w:rsidTr="7139DBB9">
        <w:tc>
          <w:tcPr>
            <w:tcW w:w="1125" w:type="dxa"/>
            <w:shd w:val="clear" w:color="auto" w:fill="FFFFFF" w:themeFill="background1"/>
          </w:tcPr>
          <w:p w14:paraId="63824029" w14:textId="77777777" w:rsidR="00FF57A9" w:rsidRPr="001941B0" w:rsidRDefault="00FF57A9"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6E44DB9" w14:textId="77C53ECD"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13ED05C5" w14:textId="77777777"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4F866A1A" w14:textId="1547821B" w:rsidR="00FF57A9" w:rsidRPr="001941B0" w:rsidRDefault="00FF57A9"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68955D99" w14:textId="54EA552E"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klasyfikacji systemów AI jako systemów wysokiego ryzyka (art. 6 AI Act). </w:t>
            </w:r>
            <w:r w:rsidRPr="001941B0">
              <w:rPr>
                <w:sz w:val="20"/>
                <w:szCs w:val="20"/>
              </w:rPr>
              <w:t xml:space="preserve"> </w:t>
            </w:r>
            <w:r w:rsidRPr="001941B0">
              <w:rPr>
                <w:rFonts w:eastAsiaTheme="minorEastAsia"/>
                <w:sz w:val="20"/>
                <w:szCs w:val="20"/>
              </w:rPr>
              <w:t>Systemy AI wykorzystywane w diagnostyce medycznej:</w:t>
            </w:r>
          </w:p>
          <w:p w14:paraId="4534A134" w14:textId="77777777"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kwalifikują się jako high-risk AI,</w:t>
            </w:r>
          </w:p>
          <w:p w14:paraId="76961D86" w14:textId="77777777"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projekt ustawy nie dokonuje tej klasyfikacji ani nie wprowadza odpowiednich obowiązków.</w:t>
            </w:r>
          </w:p>
          <w:p w14:paraId="3A468B3D" w14:textId="765473E1" w:rsidR="00FF57A9" w:rsidRPr="001941B0" w:rsidRDefault="00FF57A9" w:rsidP="006E0CB2">
            <w:pPr>
              <w:autoSpaceDE w:val="0"/>
              <w:autoSpaceDN w:val="0"/>
              <w:adjustRightInd w:val="0"/>
              <w:spacing w:after="0" w:line="240" w:lineRule="auto"/>
              <w:rPr>
                <w:sz w:val="20"/>
                <w:szCs w:val="20"/>
              </w:rPr>
            </w:pPr>
            <w:r w:rsidRPr="001941B0">
              <w:rPr>
                <w:rFonts w:eastAsiaTheme="minorEastAsia"/>
                <w:sz w:val="20"/>
                <w:szCs w:val="20"/>
              </w:rPr>
              <w:t xml:space="preserve">Propozycja: Jasne wskazanie tej kategorii ryzyka w przepisach pozwoliłoby ujednolicić standardy wdrażania takich narzędzi oraz ograniczyć ryzyko stosowania systemów niedostatecznie przetestowanych lub nieobjętych odpowiednim monitoringiem jakości. </w:t>
            </w:r>
            <w:r w:rsidRPr="001941B0">
              <w:rPr>
                <w:sz w:val="20"/>
                <w:szCs w:val="20"/>
              </w:rPr>
              <w:t xml:space="preserve"> </w:t>
            </w:r>
          </w:p>
          <w:p w14:paraId="72A1549D" w14:textId="6ECC0E75" w:rsidR="00FF57A9" w:rsidRPr="001941B0" w:rsidRDefault="00FF57A9" w:rsidP="006E0CB2">
            <w:pPr>
              <w:autoSpaceDE w:val="0"/>
              <w:autoSpaceDN w:val="0"/>
              <w:adjustRightInd w:val="0"/>
              <w:spacing w:after="0" w:line="240" w:lineRule="auto"/>
              <w:rPr>
                <w:rFonts w:eastAsiaTheme="minorEastAsia"/>
                <w:sz w:val="20"/>
                <w:szCs w:val="20"/>
              </w:rPr>
            </w:pPr>
            <w:r w:rsidRPr="001941B0">
              <w:rPr>
                <w:sz w:val="20"/>
                <w:szCs w:val="20"/>
              </w:rPr>
              <w:t xml:space="preserve">Uzasadnienie: </w:t>
            </w:r>
            <w:r w:rsidRPr="001941B0">
              <w:rPr>
                <w:rFonts w:eastAsiaTheme="minorEastAsia"/>
                <w:sz w:val="20"/>
                <w:szCs w:val="20"/>
              </w:rPr>
              <w:t>Dokument nie odnosi się wprost do klasyfikacji algorytmów AI jako systemów wysokiego ryzyka w rozumieniu prawa unijnego. Brak wyraźnego wskazania w projekcie ustawy, że tego rodzaju systemy podlegają zaostrzonym wymogom, może prowadzić do niejednolitego podejścia do ich wdrażania.</w:t>
            </w:r>
          </w:p>
        </w:tc>
        <w:tc>
          <w:tcPr>
            <w:tcW w:w="2855" w:type="dxa"/>
            <w:shd w:val="clear" w:color="auto" w:fill="FFFFFF" w:themeFill="background1"/>
          </w:tcPr>
          <w:p w14:paraId="5C1DA34F" w14:textId="77777777" w:rsidR="002852D2" w:rsidRPr="001941B0" w:rsidRDefault="002852D2" w:rsidP="002852D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3237FDD4" w14:textId="5BE56908" w:rsidR="00FF57A9" w:rsidRPr="001941B0" w:rsidRDefault="003E3644" w:rsidP="00CA40B4">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Kwestia określenia wyrobu medycznego jako wysokiego ryzyka dotyczy obowiązku producenta wyrobu medycznego, a nie </w:t>
            </w:r>
            <w:r w:rsidR="00A55E29" w:rsidRPr="001941B0">
              <w:rPr>
                <w:rFonts w:eastAsiaTheme="minorEastAsia"/>
                <w:sz w:val="20"/>
                <w:szCs w:val="20"/>
              </w:rPr>
              <w:t xml:space="preserve">dotyczy </w:t>
            </w:r>
            <w:r w:rsidR="00CA40B4" w:rsidRPr="001941B0">
              <w:rPr>
                <w:rFonts w:eastAsiaTheme="minorEastAsia"/>
                <w:sz w:val="20"/>
                <w:szCs w:val="20"/>
              </w:rPr>
              <w:t>on</w:t>
            </w:r>
            <w:r w:rsidR="00A55E29" w:rsidRPr="001941B0">
              <w:rPr>
                <w:rFonts w:eastAsiaTheme="minorEastAsia"/>
                <w:sz w:val="20"/>
                <w:szCs w:val="20"/>
              </w:rPr>
              <w:t xml:space="preserve"> PUI</w:t>
            </w:r>
            <w:r w:rsidR="00F93FB1" w:rsidRPr="001941B0">
              <w:rPr>
                <w:rFonts w:eastAsiaTheme="minorEastAsia"/>
                <w:sz w:val="20"/>
                <w:szCs w:val="20"/>
              </w:rPr>
              <w:t>, która będzie udostępniać te wyroby</w:t>
            </w:r>
            <w:r w:rsidR="008B3A1F" w:rsidRPr="001941B0">
              <w:rPr>
                <w:rFonts w:eastAsiaTheme="minorEastAsia"/>
                <w:sz w:val="20"/>
                <w:szCs w:val="20"/>
              </w:rPr>
              <w:t xml:space="preserve"> (</w:t>
            </w:r>
            <w:r w:rsidR="002852D2" w:rsidRPr="001941B0">
              <w:rPr>
                <w:rFonts w:eastAsiaTheme="minorEastAsia"/>
                <w:sz w:val="20"/>
                <w:szCs w:val="20"/>
              </w:rPr>
              <w:t>PUI nie będzie systemem wysokiego ryzyka w rozumieniu AI Act</w:t>
            </w:r>
            <w:r w:rsidR="008B3A1F" w:rsidRPr="001941B0">
              <w:rPr>
                <w:rFonts w:eastAsiaTheme="minorEastAsia"/>
                <w:sz w:val="20"/>
                <w:szCs w:val="20"/>
              </w:rPr>
              <w:t>)</w:t>
            </w:r>
            <w:r w:rsidR="002852D2" w:rsidRPr="001941B0">
              <w:rPr>
                <w:rFonts w:eastAsiaTheme="minorEastAsia"/>
                <w:sz w:val="20"/>
                <w:szCs w:val="20"/>
              </w:rPr>
              <w:t>.</w:t>
            </w:r>
          </w:p>
        </w:tc>
      </w:tr>
      <w:tr w:rsidR="00FC7212" w:rsidRPr="001941B0" w14:paraId="2B8B032D" w14:textId="77777777" w:rsidTr="7139DBB9">
        <w:tc>
          <w:tcPr>
            <w:tcW w:w="1125" w:type="dxa"/>
            <w:shd w:val="clear" w:color="auto" w:fill="FFFFFF" w:themeFill="background1"/>
          </w:tcPr>
          <w:p w14:paraId="1C685E58" w14:textId="77777777" w:rsidR="00FF57A9" w:rsidRPr="001941B0" w:rsidRDefault="00FF57A9"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AF8077E" w14:textId="6507329C"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20064569" w14:textId="77777777"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72EEEA75"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48446F73" w14:textId="5A028727" w:rsidR="00FF57A9" w:rsidRPr="001941B0" w:rsidRDefault="00FF57A9"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1585E717" w14:textId="0D5D4831"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systemu zarządzania ryzykiem (art. 9 AI Act). </w:t>
            </w:r>
            <w:r w:rsidRPr="001941B0">
              <w:rPr>
                <w:sz w:val="20"/>
                <w:szCs w:val="20"/>
              </w:rPr>
              <w:t xml:space="preserve"> </w:t>
            </w:r>
            <w:r w:rsidRPr="001941B0">
              <w:rPr>
                <w:rFonts w:eastAsiaTheme="minorEastAsia"/>
                <w:sz w:val="20"/>
                <w:szCs w:val="20"/>
              </w:rPr>
              <w:t>Projekt nie przewiduje:</w:t>
            </w:r>
          </w:p>
          <w:p w14:paraId="4CFF2895" w14:textId="77777777"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identyfikacji i minimalizacji ryzyk,</w:t>
            </w:r>
          </w:p>
          <w:p w14:paraId="73C4C40D" w14:textId="77777777"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procedur reagowania na błędy systemu,</w:t>
            </w:r>
          </w:p>
          <w:p w14:paraId="7ECEA351" w14:textId="77777777"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okresowej oceny skuteczności AI.</w:t>
            </w:r>
          </w:p>
          <w:p w14:paraId="02DE0D49" w14:textId="5B396475" w:rsidR="00FF57A9" w:rsidRPr="001941B0" w:rsidRDefault="00FF57A9" w:rsidP="7139DBB9">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Stworzenie formalnego mechanizmu monitorowania skuteczności diagnostycznej. Prowadzenie systemu zarządzania ryzykiem, obejmującego monitorowanie jakości działania AI, raportowanie błędów oraz</w:t>
            </w:r>
            <w:r w:rsidR="5D8C2C56" w:rsidRPr="001941B0">
              <w:rPr>
                <w:rFonts w:eastAsiaTheme="minorEastAsia"/>
                <w:sz w:val="20"/>
                <w:szCs w:val="20"/>
              </w:rPr>
              <w:t xml:space="preserve"> </w:t>
            </w:r>
            <w:r w:rsidRPr="001941B0">
              <w:rPr>
                <w:rFonts w:eastAsiaTheme="minorEastAsia"/>
                <w:sz w:val="20"/>
                <w:szCs w:val="20"/>
              </w:rPr>
              <w:t>okresową ocenę skuteczności systemu, pozwoliłoby zwiększyć bezpieczeństwo diagnostyki i przejrzystość odpowiedzialności.</w:t>
            </w:r>
          </w:p>
          <w:p w14:paraId="0474603A" w14:textId="7098B5EE" w:rsidR="00FF57A9" w:rsidRPr="001941B0" w:rsidRDefault="00FF57A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W obecnej wersji dokumentu nikt nie monitoruje jakości AI po wdrożeniu. Nie określono obowiązku identyfikowania potencjalnych zagrożeń wynikających z użycia systemu, procedur reagowania na błędy ani zasad okresowej oceny skuteczności i jakości działania narzędzi AI po ich wdrożeniu.</w:t>
            </w:r>
          </w:p>
        </w:tc>
        <w:tc>
          <w:tcPr>
            <w:tcW w:w="2855" w:type="dxa"/>
            <w:shd w:val="clear" w:color="auto" w:fill="FFFFFF" w:themeFill="background1"/>
          </w:tcPr>
          <w:p w14:paraId="480B9FBA" w14:textId="77777777" w:rsidR="00AD00F7" w:rsidRPr="001941B0" w:rsidRDefault="00AD00F7" w:rsidP="00AD00F7">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Wyjaśnienie</w:t>
            </w:r>
          </w:p>
          <w:p w14:paraId="7F9C558D" w14:textId="5B52EC80" w:rsidR="00FF57A9" w:rsidRPr="001941B0" w:rsidRDefault="00AD00F7" w:rsidP="00AD00F7">
            <w:pPr>
              <w:autoSpaceDE w:val="0"/>
              <w:autoSpaceDN w:val="0"/>
              <w:adjustRightInd w:val="0"/>
              <w:spacing w:after="0" w:line="240" w:lineRule="auto"/>
              <w:rPr>
                <w:rFonts w:eastAsiaTheme="minorEastAsia"/>
                <w:sz w:val="20"/>
                <w:szCs w:val="20"/>
              </w:rPr>
            </w:pPr>
            <w:r w:rsidRPr="001941B0">
              <w:rPr>
                <w:rFonts w:eastAsiaTheme="minorEastAsia"/>
                <w:sz w:val="20"/>
                <w:szCs w:val="20"/>
              </w:rPr>
              <w:t>Obowiązek</w:t>
            </w:r>
            <w:r w:rsidR="00D27E1E" w:rsidRPr="001941B0">
              <w:rPr>
                <w:rFonts w:eastAsiaTheme="minorEastAsia"/>
                <w:sz w:val="20"/>
                <w:szCs w:val="20"/>
              </w:rPr>
              <w:t xml:space="preserve"> identyfikowania potencjalnych zagrożeń</w:t>
            </w:r>
            <w:r w:rsidRPr="001941B0">
              <w:rPr>
                <w:rFonts w:eastAsiaTheme="minorEastAsia"/>
                <w:sz w:val="20"/>
                <w:szCs w:val="20"/>
              </w:rPr>
              <w:t xml:space="preserve"> spoczywa na producencie </w:t>
            </w:r>
            <w:r w:rsidR="00326EA1" w:rsidRPr="001941B0">
              <w:rPr>
                <w:rFonts w:eastAsiaTheme="minorEastAsia"/>
                <w:sz w:val="20"/>
                <w:szCs w:val="20"/>
              </w:rPr>
              <w:t xml:space="preserve">AI </w:t>
            </w:r>
            <w:r w:rsidR="00326EA1" w:rsidRPr="001941B0">
              <w:rPr>
                <w:rFonts w:eastAsiaTheme="minorEastAsia"/>
                <w:sz w:val="20"/>
                <w:szCs w:val="20"/>
              </w:rPr>
              <w:lastRenderedPageBreak/>
              <w:t xml:space="preserve">(wyrobu medycznego) </w:t>
            </w:r>
            <w:r w:rsidRPr="001941B0">
              <w:rPr>
                <w:rFonts w:eastAsiaTheme="minorEastAsia"/>
                <w:sz w:val="20"/>
                <w:szCs w:val="20"/>
              </w:rPr>
              <w:t xml:space="preserve">a nie </w:t>
            </w:r>
            <w:r w:rsidR="002A7B1E" w:rsidRPr="001941B0">
              <w:rPr>
                <w:rFonts w:eastAsiaTheme="minorEastAsia"/>
                <w:sz w:val="20"/>
                <w:szCs w:val="20"/>
              </w:rPr>
              <w:t xml:space="preserve">na </w:t>
            </w:r>
            <w:r w:rsidRPr="001941B0">
              <w:rPr>
                <w:rFonts w:eastAsiaTheme="minorEastAsia"/>
                <w:sz w:val="20"/>
                <w:szCs w:val="20"/>
              </w:rPr>
              <w:t>PUI</w:t>
            </w:r>
            <w:r w:rsidR="00326EA1" w:rsidRPr="001941B0">
              <w:rPr>
                <w:rFonts w:eastAsiaTheme="minorEastAsia"/>
                <w:sz w:val="20"/>
                <w:szCs w:val="20"/>
              </w:rPr>
              <w:t>.</w:t>
            </w:r>
          </w:p>
        </w:tc>
      </w:tr>
      <w:tr w:rsidR="00FC7212" w:rsidRPr="001941B0" w14:paraId="256C56E2" w14:textId="77777777" w:rsidTr="7139DBB9">
        <w:tc>
          <w:tcPr>
            <w:tcW w:w="1125" w:type="dxa"/>
            <w:shd w:val="clear" w:color="auto" w:fill="FFFFFF" w:themeFill="background1"/>
          </w:tcPr>
          <w:p w14:paraId="06BD518C"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7EE16EB" w14:textId="4B9AA30D"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53D0C9A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6DF75E68"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73F1EB8B" w14:textId="08002254" w:rsidR="0063705A" w:rsidRPr="001941B0" w:rsidRDefault="0063705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7CC2517F" w14:textId="77BBD47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transparentności i informacji dla użytkowników (art. 13 AI Act). </w:t>
            </w:r>
            <w:r w:rsidRPr="001941B0">
              <w:rPr>
                <w:sz w:val="20"/>
                <w:szCs w:val="20"/>
              </w:rPr>
              <w:t xml:space="preserve"> </w:t>
            </w:r>
            <w:r w:rsidRPr="001941B0">
              <w:rPr>
                <w:rFonts w:eastAsiaTheme="minorEastAsia"/>
                <w:sz w:val="20"/>
                <w:szCs w:val="20"/>
              </w:rPr>
              <w:t>Projekt nie nakłada obowiązku informowania lekarzy, pacjentów o:</w:t>
            </w:r>
          </w:p>
          <w:p w14:paraId="45BD647B"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zastosowaniu AI,</w:t>
            </w:r>
          </w:p>
          <w:p w14:paraId="0DC49987"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ograniczeniach systemu,</w:t>
            </w:r>
          </w:p>
          <w:p w14:paraId="2D04915C"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znanych ryzykach i błędach.</w:t>
            </w:r>
          </w:p>
          <w:p w14:paraId="7D50402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Wymaganie aby lekarz otrzymywał pełne informacje o działaniu algorytmu i jego ograniczeniach. </w:t>
            </w:r>
          </w:p>
          <w:p w14:paraId="22E619DA" w14:textId="3F7FD8C8"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Projekt nie wymaga, aby lekarz otrzymywał pełne informacje o działaniu algorytmu i jego ograniczeniach.</w:t>
            </w:r>
          </w:p>
        </w:tc>
        <w:tc>
          <w:tcPr>
            <w:tcW w:w="2855" w:type="dxa"/>
            <w:shd w:val="clear" w:color="auto" w:fill="FFFFFF" w:themeFill="background1"/>
          </w:tcPr>
          <w:p w14:paraId="4274D18F" w14:textId="74FA88E8" w:rsidR="0063705A" w:rsidRPr="001941B0" w:rsidRDefault="000859BB"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Wyjaśnienie</w:t>
            </w:r>
          </w:p>
          <w:p w14:paraId="57B199C2" w14:textId="2B147C6C" w:rsidR="000859BB" w:rsidRPr="001941B0" w:rsidRDefault="005A386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Informacje </w:t>
            </w:r>
            <w:r w:rsidR="00DE1623" w:rsidRPr="001941B0">
              <w:rPr>
                <w:rFonts w:eastAsiaTheme="minorEastAsia"/>
                <w:sz w:val="20"/>
                <w:szCs w:val="20"/>
              </w:rPr>
              <w:t>dla użytkownika</w:t>
            </w:r>
            <w:r w:rsidR="00EB6C0F" w:rsidRPr="001941B0">
              <w:rPr>
                <w:rFonts w:eastAsiaTheme="minorEastAsia"/>
                <w:sz w:val="20"/>
                <w:szCs w:val="20"/>
              </w:rPr>
              <w:t xml:space="preserve"> będą zawarte</w:t>
            </w:r>
            <w:r w:rsidR="000859BB" w:rsidRPr="001941B0">
              <w:rPr>
                <w:rFonts w:eastAsiaTheme="minorEastAsia"/>
                <w:sz w:val="20"/>
                <w:szCs w:val="20"/>
              </w:rPr>
              <w:t xml:space="preserve"> w regulaminie</w:t>
            </w:r>
            <w:r w:rsidR="00EB6C0F" w:rsidRPr="001941B0">
              <w:rPr>
                <w:rFonts w:eastAsiaTheme="minorEastAsia"/>
                <w:sz w:val="20"/>
                <w:szCs w:val="20"/>
              </w:rPr>
              <w:t>.</w:t>
            </w:r>
          </w:p>
          <w:p w14:paraId="707A7877" w14:textId="69907FE3" w:rsidR="0063705A" w:rsidRPr="001941B0" w:rsidRDefault="0063705A" w:rsidP="006E0CB2">
            <w:pPr>
              <w:autoSpaceDE w:val="0"/>
              <w:autoSpaceDN w:val="0"/>
              <w:adjustRightInd w:val="0"/>
              <w:spacing w:after="0" w:line="240" w:lineRule="auto"/>
              <w:rPr>
                <w:rFonts w:eastAsiaTheme="minorEastAsia"/>
                <w:sz w:val="20"/>
                <w:szCs w:val="20"/>
              </w:rPr>
            </w:pPr>
          </w:p>
        </w:tc>
      </w:tr>
      <w:tr w:rsidR="00FC7212" w:rsidRPr="001941B0" w14:paraId="02ABE94D" w14:textId="77777777" w:rsidTr="7139DBB9">
        <w:tc>
          <w:tcPr>
            <w:tcW w:w="1125" w:type="dxa"/>
            <w:shd w:val="clear" w:color="auto" w:fill="FFFFFF" w:themeFill="background1"/>
          </w:tcPr>
          <w:p w14:paraId="484DD413"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6CCDAAAD" w14:textId="066E001E"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2009632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01365603"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29199D85" w14:textId="5E90E933" w:rsidR="0063705A" w:rsidRPr="001941B0" w:rsidRDefault="0063705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6C4392C9" w14:textId="730B04CC"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obowiązku logowania do systemów AI i zapewnienia audytowalności (art. 12 AI Act). </w:t>
            </w:r>
            <w:r w:rsidRPr="001941B0">
              <w:rPr>
                <w:sz w:val="20"/>
                <w:szCs w:val="20"/>
              </w:rPr>
              <w:t xml:space="preserve"> </w:t>
            </w:r>
            <w:r w:rsidRPr="001941B0">
              <w:rPr>
                <w:rFonts w:eastAsiaTheme="minorEastAsia"/>
                <w:sz w:val="20"/>
                <w:szCs w:val="20"/>
              </w:rPr>
              <w:t>Projekt ustawy nie przewiduje obowiązków w zakresie zapewnienia logowania działania systemów sztucznej inteligencji oraz audytowalności ich funkcjonowania, o których mowa w art. 12 AI Act.</w:t>
            </w:r>
          </w:p>
          <w:p w14:paraId="776311FE"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szczególności brak jest regulacji dotyczących:</w:t>
            </w:r>
          </w:p>
          <w:p w14:paraId="2EB6298C"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automatycznego rejestrowania działania systemu AI oraz jego interakcji z użytkownikiem,</w:t>
            </w:r>
          </w:p>
          <w:p w14:paraId="1D64A578"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archiwizacji wyników analiz oraz decyzji generowanych przez system,</w:t>
            </w:r>
          </w:p>
          <w:p w14:paraId="392CBC9E"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możliwości przeprowadzenia audytu działania systemu AI,</w:t>
            </w:r>
          </w:p>
          <w:p w14:paraId="044CD2F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zapewnienia dostępu do logów w przypadku incydentów medycznych, sporów prawnych lub kontroli.</w:t>
            </w:r>
          </w:p>
          <w:p w14:paraId="12451D5A"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Brak powyższych mechanizmów może utrudnić:</w:t>
            </w:r>
          </w:p>
          <w:p w14:paraId="0083C936"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ustalenie przyczyn błędów diagnostycznych,</w:t>
            </w:r>
          </w:p>
          <w:p w14:paraId="5ACAC2FB"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ocenę prawidłowości działania systemu,</w:t>
            </w:r>
          </w:p>
          <w:p w14:paraId="2FA6F106"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przypisanie odpowiedzialności w przypadku szkody,</w:t>
            </w:r>
          </w:p>
          <w:p w14:paraId="5EF46DB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spełnienie wymogów wynikających z AI Act dla systemów wysokiego ryzyka.</w:t>
            </w:r>
          </w:p>
          <w:p w14:paraId="6A18B94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Wprowadzenie wymogu rejestrowania działania systemów AI oraz zapewnienia możliwości ich audytu pozwoliłoby zwiększyć przejrzystość procesu diagnostycznego, ułatwić analizę ewentualnych incydentów oraz jasno określić zakres odpowiedzialności poszczególnych uczestników procesu diagnostycznego.</w:t>
            </w:r>
          </w:p>
          <w:p w14:paraId="56BCB5BB" w14:textId="35B652B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System AI nie musi zapisywać, jakie dane analizował, jakie wnioski wygenerował ani w jaki sposób doszedł do danego wyniku. Nie ma także gwarancji, że takie informacje będą archiwizowane i dostępne w przypadku błędu diagnostycznego, kontroli lub postępowania sądowego.</w:t>
            </w:r>
          </w:p>
        </w:tc>
        <w:tc>
          <w:tcPr>
            <w:tcW w:w="2855" w:type="dxa"/>
            <w:shd w:val="clear" w:color="auto" w:fill="FFFFFF" w:themeFill="background1"/>
          </w:tcPr>
          <w:p w14:paraId="67CB0290" w14:textId="0B633C36" w:rsidR="000F36C5" w:rsidRPr="001941B0" w:rsidRDefault="001E2101" w:rsidP="000F36C5">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2094AC8A" w14:textId="1A5AE210" w:rsidR="0063705A" w:rsidRPr="001941B0" w:rsidRDefault="001E68CE" w:rsidP="001E68CE">
            <w:pPr>
              <w:autoSpaceDE w:val="0"/>
              <w:autoSpaceDN w:val="0"/>
              <w:adjustRightInd w:val="0"/>
              <w:spacing w:after="0" w:line="240" w:lineRule="auto"/>
              <w:rPr>
                <w:rFonts w:eastAsiaTheme="minorEastAsia"/>
                <w:sz w:val="20"/>
                <w:szCs w:val="20"/>
              </w:rPr>
            </w:pPr>
            <w:r w:rsidRPr="001941B0">
              <w:rPr>
                <w:rFonts w:eastAsiaTheme="minorEastAsia"/>
                <w:sz w:val="20"/>
                <w:szCs w:val="20"/>
              </w:rPr>
              <w:t>Poza zakresem regulacji, wynika to z odrębnych przepisów prawnych.</w:t>
            </w:r>
          </w:p>
        </w:tc>
      </w:tr>
      <w:tr w:rsidR="00FC7212" w:rsidRPr="001941B0" w14:paraId="79DFB2D2" w14:textId="77777777" w:rsidTr="7139DBB9">
        <w:tc>
          <w:tcPr>
            <w:tcW w:w="1125" w:type="dxa"/>
            <w:shd w:val="clear" w:color="auto" w:fill="FFFFFF" w:themeFill="background1"/>
          </w:tcPr>
          <w:p w14:paraId="1821E72C" w14:textId="77777777" w:rsidR="0063705A" w:rsidRPr="001941B0" w:rsidRDefault="0063705A" w:rsidP="004066CB">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67AE3F4D" w14:textId="450742EF"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1DFFC78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0D687A61"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22BF6649" w14:textId="2F6246F8" w:rsidR="0063705A" w:rsidRPr="001941B0" w:rsidRDefault="0063705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656559D5"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regulacji dotyczących przetwarzania danych do trenowania systemów. </w:t>
            </w:r>
            <w:r w:rsidRPr="001941B0">
              <w:rPr>
                <w:sz w:val="20"/>
                <w:szCs w:val="20"/>
              </w:rPr>
              <w:t xml:space="preserve"> </w:t>
            </w:r>
            <w:r w:rsidRPr="001941B0">
              <w:rPr>
                <w:rFonts w:eastAsiaTheme="minorEastAsia"/>
                <w:sz w:val="20"/>
                <w:szCs w:val="20"/>
              </w:rPr>
              <w:t xml:space="preserve">Przetwarzanie danych medycznych. Projekt nie określa zasad wykorzystania danych medycznych do trenowania modeli analitycznych ani prawa sprzeciwu pacjenta. </w:t>
            </w:r>
          </w:p>
          <w:p w14:paraId="5464C866"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Dane medyczne mogą być wykorzystywane do celów rozwoju systemów analitycznych wyłącznie po przeprowadzeniu oceny skutków dla ochrony danych oraz przy zapewnieniu prawa sprzeciwu pacjenta.</w:t>
            </w:r>
          </w:p>
          <w:p w14:paraId="23C3B4EB" w14:textId="7352943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Projekt ustawy nie określa jasno, czy i na jakich zasadach dane medyczne mogą być wykorzystywane do trenowania systemów analitycznych i narzędzi sztucznej inteligencji.</w:t>
            </w:r>
          </w:p>
        </w:tc>
        <w:tc>
          <w:tcPr>
            <w:tcW w:w="2855" w:type="dxa"/>
            <w:shd w:val="clear" w:color="auto" w:fill="FFFFFF" w:themeFill="background1"/>
          </w:tcPr>
          <w:p w14:paraId="30F9635A" w14:textId="4C0BFD9E" w:rsidR="0063705A" w:rsidRPr="001941B0" w:rsidRDefault="0030364C"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3799DA1C" w14:textId="77777777" w:rsidR="00961F2A" w:rsidRPr="001941B0" w:rsidRDefault="00961F2A" w:rsidP="00961F2A">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Zapisy projektowanej ustawy przewidują przetwarzanie danych obrazowych przez narzędzia wspomagające. po ich anonimizacji.  </w:t>
            </w:r>
          </w:p>
          <w:p w14:paraId="26007044" w14:textId="49991947" w:rsidR="0063705A" w:rsidRPr="001941B0" w:rsidRDefault="0063705A" w:rsidP="006E0CB2">
            <w:pPr>
              <w:autoSpaceDE w:val="0"/>
              <w:autoSpaceDN w:val="0"/>
              <w:adjustRightInd w:val="0"/>
              <w:spacing w:after="0" w:line="240" w:lineRule="auto"/>
              <w:rPr>
                <w:rFonts w:eastAsiaTheme="minorEastAsia"/>
                <w:sz w:val="20"/>
                <w:szCs w:val="20"/>
              </w:rPr>
            </w:pPr>
          </w:p>
        </w:tc>
      </w:tr>
      <w:tr w:rsidR="00FC7212" w:rsidRPr="001941B0" w14:paraId="2CBB3192" w14:textId="77777777" w:rsidTr="7139DBB9">
        <w:tc>
          <w:tcPr>
            <w:tcW w:w="1125" w:type="dxa"/>
            <w:shd w:val="clear" w:color="auto" w:fill="FFFFFF" w:themeFill="background1"/>
          </w:tcPr>
          <w:p w14:paraId="40E571FC"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3D529BC6" w14:textId="429FA1F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1B49F45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6692A8AF"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252EE2DB" w14:textId="36F9F17A" w:rsidR="0063705A" w:rsidRPr="001941B0" w:rsidRDefault="0063705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2BC1EA1B" w14:textId="77B4E87A"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kompleksowych regulacji w zakresie cyberbezpieczeństwa systemów AI w ochronie zdrowia. </w:t>
            </w:r>
            <w:r w:rsidRPr="001941B0">
              <w:rPr>
                <w:sz w:val="20"/>
                <w:szCs w:val="20"/>
              </w:rPr>
              <w:t xml:space="preserve"> </w:t>
            </w:r>
            <w:r w:rsidRPr="001941B0">
              <w:rPr>
                <w:rFonts w:eastAsiaTheme="minorEastAsia"/>
                <w:sz w:val="20"/>
                <w:szCs w:val="20"/>
              </w:rPr>
              <w:t xml:space="preserve">Projekt ustawy wprowadza rozwiązania umożliwiające przetwarzanie dużych zbiorów danych medycznych oraz </w:t>
            </w:r>
            <w:r w:rsidRPr="001941B0">
              <w:rPr>
                <w:rFonts w:eastAsiaTheme="minorEastAsia"/>
                <w:sz w:val="20"/>
                <w:szCs w:val="20"/>
              </w:rPr>
              <w:lastRenderedPageBreak/>
              <w:t>wykorzystanie systemów analitycznych i narzędzi sztucznej inteligencji w diagnostyce, jednak nie zawiera kompleksowych regulacji dotyczących cyberbezpieczeństwa tych systemów. W szczególności brak jest przepisów określających:</w:t>
            </w:r>
          </w:p>
          <w:p w14:paraId="493EE3E7"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obowiązek stosowania jednolitych standardów bezpieczeństwa dla systemów AI w ochronie zdrowia, </w:t>
            </w:r>
          </w:p>
          <w:p w14:paraId="0CB9E372"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procedury reagowania na incydenty bezpieczeństwa dotyczące systemów analitycznych, obowiązek testów penetracyjnych i audytów bezpieczeństwa systemów AI, </w:t>
            </w:r>
          </w:p>
          <w:p w14:paraId="52574DA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zasady zapewnienia ciągłości działania systemów w przypadku awarii lub cyberataku,</w:t>
            </w:r>
          </w:p>
          <w:p w14:paraId="7A4BC7B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obowiązek prowadzenia rejestru incydentów bezpieczeństwa związanych z działaniem systemów AI. </w:t>
            </w:r>
          </w:p>
          <w:p w14:paraId="483926C5"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regulacji w tym zakresie stwarza ryzyko: </w:t>
            </w:r>
          </w:p>
          <w:p w14:paraId="5391407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naruszeń bezpieczeństwa danych medycznych, </w:t>
            </w:r>
          </w:p>
          <w:p w14:paraId="0661DF9C"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manipulacji wynikami analiz diagnostycznych, </w:t>
            </w:r>
          </w:p>
          <w:p w14:paraId="73CC0BC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zakłócenia ciągłości działania systemów wspomagających diagnostykę, </w:t>
            </w:r>
          </w:p>
          <w:p w14:paraId="3C13525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utraty zaufania do systemów e-zdrowia.</w:t>
            </w:r>
          </w:p>
          <w:p w14:paraId="4F7B661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Podmiot prowadzący system teleinformatyczny wykorzystujący narzędzia analityczne lub systemy sztucznej inteligencji w ochronie zdrowia zapewnia spełnienie wymogów cyberbezpieczeństwa adekwatnych do poziomu ryzyka, w szczególności poprzez stosowanie audytów bezpieczeństwa, testów penetracyjnych, procedur reagowania na incydenty oraz mechanizmów zapewniających ciągłość działania systemu.</w:t>
            </w:r>
          </w:p>
          <w:p w14:paraId="12C1C2EE" w14:textId="3EEE0F8F"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Projekt ustawy zakłada szerokie wykorzystanie systemów informatycznych i narzędzi sztucznej inteligencji w ochronie zdrowia, w tym w diagnostyce obrazowej, jednak nie zawiera szczegółowych przepisów dotyczących ich cyberbezpieczeństwa.</w:t>
            </w:r>
          </w:p>
        </w:tc>
        <w:tc>
          <w:tcPr>
            <w:tcW w:w="2855" w:type="dxa"/>
            <w:shd w:val="clear" w:color="auto" w:fill="FFFFFF" w:themeFill="background1"/>
          </w:tcPr>
          <w:p w14:paraId="1B05DB0B" w14:textId="4A29243C" w:rsidR="0063705A" w:rsidRPr="001941B0" w:rsidRDefault="002B2CDA"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2E5FCFFF" w14:textId="426F3CF0" w:rsidR="0063705A" w:rsidRPr="001941B0" w:rsidRDefault="002B2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Ocena cyberbezpieczeństwa </w:t>
            </w:r>
            <w:r w:rsidR="00F83EF2" w:rsidRPr="001941B0">
              <w:rPr>
                <w:rFonts w:eastAsiaTheme="minorEastAsia"/>
                <w:sz w:val="20"/>
                <w:szCs w:val="20"/>
              </w:rPr>
              <w:t>j</w:t>
            </w:r>
            <w:r w:rsidRPr="001941B0">
              <w:rPr>
                <w:rFonts w:eastAsiaTheme="minorEastAsia"/>
                <w:sz w:val="20"/>
                <w:szCs w:val="20"/>
              </w:rPr>
              <w:t xml:space="preserve">est elementem oceny </w:t>
            </w:r>
            <w:r w:rsidR="00C7148D" w:rsidRPr="001941B0">
              <w:rPr>
                <w:rFonts w:eastAsiaTheme="minorEastAsia"/>
                <w:sz w:val="20"/>
                <w:szCs w:val="20"/>
              </w:rPr>
              <w:lastRenderedPageBreak/>
              <w:t xml:space="preserve">zgodności </w:t>
            </w:r>
            <w:r w:rsidRPr="001941B0">
              <w:rPr>
                <w:rFonts w:eastAsiaTheme="minorEastAsia"/>
                <w:sz w:val="20"/>
                <w:szCs w:val="20"/>
              </w:rPr>
              <w:t>wyrobu medycznego.</w:t>
            </w:r>
          </w:p>
        </w:tc>
      </w:tr>
      <w:tr w:rsidR="00FC7212" w:rsidRPr="001941B0" w14:paraId="7D38C422" w14:textId="77777777" w:rsidTr="7139DBB9">
        <w:tc>
          <w:tcPr>
            <w:tcW w:w="1125" w:type="dxa"/>
            <w:shd w:val="clear" w:color="auto" w:fill="FFFFFF" w:themeFill="background1"/>
          </w:tcPr>
          <w:p w14:paraId="24696FE7"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7BF6BDCB" w14:textId="475C59DF"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43DBFC86" w14:textId="122BB3AC"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477CBD02"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regulacji dowodowej. </w:t>
            </w:r>
            <w:r w:rsidRPr="001941B0">
              <w:rPr>
                <w:sz w:val="20"/>
                <w:szCs w:val="20"/>
              </w:rPr>
              <w:t xml:space="preserve"> </w:t>
            </w:r>
            <w:r w:rsidRPr="001941B0">
              <w:rPr>
                <w:rFonts w:eastAsiaTheme="minorEastAsia"/>
                <w:sz w:val="20"/>
                <w:szCs w:val="20"/>
              </w:rPr>
              <w:t xml:space="preserve">Projekt nie określa statusu raportów systemowych w postępowaniach sądowych ani obowiązku archiwizacji logów systemowych. </w:t>
            </w:r>
          </w:p>
          <w:p w14:paraId="6827891A"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Wprowadzenie przepisu o archiwizacji logów działania systemu oraz mocy dowodowej raportów.</w:t>
            </w:r>
          </w:p>
          <w:p w14:paraId="69736A2F" w14:textId="474FC6D0"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Uzasadnienie: </w:t>
            </w:r>
            <w:r w:rsidRPr="001941B0">
              <w:rPr>
                <w:sz w:val="20"/>
                <w:szCs w:val="20"/>
              </w:rPr>
              <w:t xml:space="preserve"> </w:t>
            </w:r>
            <w:r w:rsidRPr="001941B0">
              <w:rPr>
                <w:rFonts w:eastAsiaTheme="minorEastAsia"/>
                <w:sz w:val="20"/>
                <w:szCs w:val="20"/>
              </w:rPr>
              <w:t>Nie określono, jak traktować wyniki AI w postępowaniach prawnych.</w:t>
            </w:r>
          </w:p>
        </w:tc>
        <w:tc>
          <w:tcPr>
            <w:tcW w:w="2855" w:type="dxa"/>
            <w:shd w:val="clear" w:color="auto" w:fill="FFFFFF" w:themeFill="background1"/>
          </w:tcPr>
          <w:p w14:paraId="7F07BCE7" w14:textId="77777777" w:rsidR="0063705A" w:rsidRPr="001941B0" w:rsidRDefault="001D6564"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0BBD6E2F" w14:textId="1FF92006" w:rsidR="001D6564" w:rsidRPr="001941B0" w:rsidRDefault="006549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Poza zakresem projektowanych regulacji. PUI nie będzie wyrobem wy</w:t>
            </w:r>
            <w:r w:rsidR="003E75C2" w:rsidRPr="001941B0">
              <w:rPr>
                <w:rFonts w:eastAsiaTheme="minorEastAsia"/>
                <w:sz w:val="20"/>
                <w:szCs w:val="20"/>
              </w:rPr>
              <w:t xml:space="preserve">sokiego ryzyka w </w:t>
            </w:r>
            <w:r w:rsidR="003E75C2" w:rsidRPr="001941B0">
              <w:rPr>
                <w:rFonts w:eastAsiaTheme="minorEastAsia"/>
                <w:sz w:val="20"/>
                <w:szCs w:val="20"/>
              </w:rPr>
              <w:lastRenderedPageBreak/>
              <w:t xml:space="preserve">rozumieniu AI Act, a </w:t>
            </w:r>
            <w:r w:rsidR="00CE2157" w:rsidRPr="001941B0">
              <w:rPr>
                <w:rFonts w:eastAsiaTheme="minorEastAsia"/>
                <w:sz w:val="20"/>
                <w:szCs w:val="20"/>
              </w:rPr>
              <w:t xml:space="preserve">w przypadku </w:t>
            </w:r>
            <w:r w:rsidR="003E75C2" w:rsidRPr="001941B0">
              <w:rPr>
                <w:rFonts w:eastAsiaTheme="minorEastAsia"/>
                <w:sz w:val="20"/>
                <w:szCs w:val="20"/>
              </w:rPr>
              <w:t>wyrob</w:t>
            </w:r>
            <w:r w:rsidR="00CE2157" w:rsidRPr="001941B0">
              <w:rPr>
                <w:rFonts w:eastAsiaTheme="minorEastAsia"/>
                <w:sz w:val="20"/>
                <w:szCs w:val="20"/>
              </w:rPr>
              <w:t>ów</w:t>
            </w:r>
            <w:r w:rsidR="003E75C2" w:rsidRPr="001941B0">
              <w:rPr>
                <w:rFonts w:eastAsiaTheme="minorEastAsia"/>
                <w:sz w:val="20"/>
                <w:szCs w:val="20"/>
              </w:rPr>
              <w:t xml:space="preserve"> medyczn</w:t>
            </w:r>
            <w:r w:rsidR="00CE2157" w:rsidRPr="001941B0">
              <w:rPr>
                <w:rFonts w:eastAsiaTheme="minorEastAsia"/>
                <w:sz w:val="20"/>
                <w:szCs w:val="20"/>
              </w:rPr>
              <w:t>ych</w:t>
            </w:r>
            <w:r w:rsidR="003E75C2" w:rsidRPr="001941B0">
              <w:rPr>
                <w:rFonts w:eastAsiaTheme="minorEastAsia"/>
                <w:sz w:val="20"/>
                <w:szCs w:val="20"/>
              </w:rPr>
              <w:t>, będąc</w:t>
            </w:r>
            <w:r w:rsidR="00CE2157" w:rsidRPr="001941B0">
              <w:rPr>
                <w:rFonts w:eastAsiaTheme="minorEastAsia"/>
                <w:sz w:val="20"/>
                <w:szCs w:val="20"/>
              </w:rPr>
              <w:t>ych</w:t>
            </w:r>
            <w:r w:rsidR="003E75C2" w:rsidRPr="001941B0">
              <w:rPr>
                <w:rFonts w:eastAsiaTheme="minorEastAsia"/>
                <w:sz w:val="20"/>
                <w:szCs w:val="20"/>
              </w:rPr>
              <w:t xml:space="preserve"> jednocześnie systemami wysokiego ryzyka</w:t>
            </w:r>
            <w:r w:rsidR="00267563" w:rsidRPr="001941B0">
              <w:rPr>
                <w:rFonts w:eastAsiaTheme="minorEastAsia"/>
                <w:sz w:val="20"/>
                <w:szCs w:val="20"/>
              </w:rPr>
              <w:t>, obowiązek spoczywa na producencie</w:t>
            </w:r>
            <w:r w:rsidR="00961F2A" w:rsidRPr="001941B0">
              <w:rPr>
                <w:rFonts w:eastAsiaTheme="minorEastAsia"/>
                <w:sz w:val="20"/>
                <w:szCs w:val="20"/>
              </w:rPr>
              <w:t xml:space="preserve"> wyrobu medycznego</w:t>
            </w:r>
            <w:r w:rsidR="00267563" w:rsidRPr="001941B0">
              <w:rPr>
                <w:rFonts w:eastAsiaTheme="minorEastAsia"/>
                <w:sz w:val="20"/>
                <w:szCs w:val="20"/>
              </w:rPr>
              <w:t>.</w:t>
            </w:r>
          </w:p>
        </w:tc>
      </w:tr>
      <w:tr w:rsidR="00FC7212" w:rsidRPr="001941B0" w14:paraId="306E08E2" w14:textId="77777777" w:rsidTr="7139DBB9">
        <w:tc>
          <w:tcPr>
            <w:tcW w:w="1125" w:type="dxa"/>
            <w:shd w:val="clear" w:color="auto" w:fill="FFFFFF" w:themeFill="background1"/>
          </w:tcPr>
          <w:p w14:paraId="05C93C00"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140F71FE" w14:textId="3CF0992D"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47E1F34B"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p w14:paraId="15EC2DF1" w14:textId="77777777" w:rsidR="004802C8" w:rsidRPr="001941B0" w:rsidRDefault="004802C8" w:rsidP="006E0CB2">
            <w:pPr>
              <w:autoSpaceDE w:val="0"/>
              <w:autoSpaceDN w:val="0"/>
              <w:adjustRightInd w:val="0"/>
              <w:spacing w:after="0" w:line="240" w:lineRule="auto"/>
              <w:rPr>
                <w:rFonts w:eastAsiaTheme="minorEastAsia"/>
                <w:sz w:val="20"/>
                <w:szCs w:val="20"/>
              </w:rPr>
            </w:pPr>
          </w:p>
          <w:p w14:paraId="2F94D446" w14:textId="2FCB5408" w:rsidR="0063705A" w:rsidRPr="001941B0" w:rsidRDefault="0063705A" w:rsidP="006E0CB2">
            <w:pPr>
              <w:autoSpaceDE w:val="0"/>
              <w:autoSpaceDN w:val="0"/>
              <w:adjustRightInd w:val="0"/>
              <w:spacing w:after="0" w:line="240" w:lineRule="auto"/>
              <w:rPr>
                <w:rFonts w:eastAsiaTheme="minorEastAsia"/>
                <w:sz w:val="20"/>
                <w:szCs w:val="20"/>
              </w:rPr>
            </w:pPr>
          </w:p>
        </w:tc>
        <w:tc>
          <w:tcPr>
            <w:tcW w:w="5652" w:type="dxa"/>
            <w:shd w:val="clear" w:color="auto" w:fill="FFFFFF" w:themeFill="background1"/>
          </w:tcPr>
          <w:p w14:paraId="092BD27C" w14:textId="2E9A9F30"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standardów nadzoru klinicznego nad systemami AI w radiologii. </w:t>
            </w:r>
            <w:r w:rsidRPr="001941B0">
              <w:rPr>
                <w:sz w:val="20"/>
                <w:szCs w:val="20"/>
              </w:rPr>
              <w:t xml:space="preserve"> </w:t>
            </w:r>
            <w:r w:rsidRPr="001941B0">
              <w:rPr>
                <w:rFonts w:eastAsiaTheme="minorEastAsia"/>
                <w:sz w:val="20"/>
                <w:szCs w:val="20"/>
              </w:rPr>
              <w:t>Nie określono:</w:t>
            </w:r>
          </w:p>
          <w:p w14:paraId="71369524"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obowiązku dokumentowania wykorzystania AI w opisie badania,</w:t>
            </w:r>
          </w:p>
          <w:p w14:paraId="56048BD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zasad w przypadku rozbieżności między oceną radiologa a wynikiem systemu,</w:t>
            </w:r>
          </w:p>
          <w:p w14:paraId="46D778F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obowiązku zachowania logów działania systemu.</w:t>
            </w:r>
          </w:p>
          <w:p w14:paraId="5D9CD16B" w14:textId="32D1F3CD"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Propozycja: W przypadku rozbieżności pomiędzy wynikiem systemu analitycznego a oceną lekarza radiologa rozstrzygające znaczenie ma ocena lekarza specj. radiologii i diagnostyki obrazowej lub lekarza w trakcie specjalizacji z radiologii i diagnostyki obrazowej, a informacja o rozbieżności podlega odnotowaniu w dokumentacji medycznej.</w:t>
            </w:r>
          </w:p>
          <w:p w14:paraId="7BA04157" w14:textId="71C4BC0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Uzasadnienie: Projekt ustawy nie określa podstawowych zasad klinicznego nadzoru w radiologii.</w:t>
            </w:r>
          </w:p>
        </w:tc>
        <w:tc>
          <w:tcPr>
            <w:tcW w:w="2855" w:type="dxa"/>
            <w:shd w:val="clear" w:color="auto" w:fill="FFFFFF" w:themeFill="background1"/>
          </w:tcPr>
          <w:p w14:paraId="3C5551B1" w14:textId="4F02FB09" w:rsidR="002B2CDA" w:rsidRPr="001941B0" w:rsidRDefault="002B2CDA" w:rsidP="002B2CDA">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4DF7A47C" w14:textId="75BAD1CA" w:rsidR="0063705A" w:rsidRPr="001941B0" w:rsidRDefault="0A089647" w:rsidP="7139DBB9">
            <w:pPr>
              <w:autoSpaceDE w:val="0"/>
              <w:autoSpaceDN w:val="0"/>
              <w:adjustRightInd w:val="0"/>
              <w:spacing w:after="0" w:line="240" w:lineRule="auto"/>
              <w:rPr>
                <w:sz w:val="20"/>
                <w:szCs w:val="20"/>
              </w:rPr>
            </w:pPr>
            <w:r w:rsidRPr="001941B0">
              <w:rPr>
                <w:rFonts w:eastAsia="Segoe UI" w:cs="Segoe UI"/>
                <w:color w:val="333333"/>
                <w:sz w:val="20"/>
                <w:szCs w:val="20"/>
              </w:rPr>
              <w:t xml:space="preserve">PUI stanowi wyłącznie narzędzie wspomagające diagnostykę, zatem usługodawcy mogą ale nie muszą korzystać z przedmiotowego systemu, z uwagi na powyższe zbędnym jest regulowanie zasad postępowania chociażby w przypadku rozbieżności między ocena systemu a samego usługodawcy, warto zaznaczyć, że art. 4 ustawy z dnia 5 grudnia 1996 ustawy o zawodach lekarza i lekarza dentysty nakreśla zasadę postępowania w każdym przypadku związanym z udzielaniem świadczeń zdrowotnych (nie tylko z użyciem narzędzi sztucznej inteligencji) zgodnie z którą, lekarz ma obowiązek wykonywać zawód zgodnie ze wskazaniami aktualnej wiedzy medycznej, dostępnymi mu metodami i środkami zapobiegania, rozpoznawania i leczenia chorób, zgodnie z </w:t>
            </w:r>
            <w:r w:rsidRPr="001941B0">
              <w:rPr>
                <w:rFonts w:eastAsia="Segoe UI" w:cs="Segoe UI"/>
                <w:color w:val="333333"/>
                <w:sz w:val="20"/>
                <w:szCs w:val="20"/>
              </w:rPr>
              <w:lastRenderedPageBreak/>
              <w:t>zasadami etyki zawodowej oraz należytą starannością.</w:t>
            </w:r>
          </w:p>
        </w:tc>
      </w:tr>
      <w:tr w:rsidR="00FC7212" w:rsidRPr="001941B0" w14:paraId="2354CCC6" w14:textId="77777777" w:rsidTr="7139DBB9">
        <w:tc>
          <w:tcPr>
            <w:tcW w:w="1125" w:type="dxa"/>
            <w:shd w:val="clear" w:color="auto" w:fill="FFFFFF" w:themeFill="background1"/>
          </w:tcPr>
          <w:p w14:paraId="085785CB"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20B47F5C" w14:textId="7531330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4786B241" w14:textId="6604DA86"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34F9C093" w14:textId="250E1659"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regulacji odpowiedzialności operatora systemu. </w:t>
            </w:r>
            <w:r w:rsidRPr="001941B0">
              <w:rPr>
                <w:sz w:val="20"/>
                <w:szCs w:val="20"/>
              </w:rPr>
              <w:t xml:space="preserve"> </w:t>
            </w:r>
            <w:r w:rsidRPr="001941B0">
              <w:rPr>
                <w:rFonts w:eastAsiaTheme="minorEastAsia"/>
                <w:sz w:val="20"/>
                <w:szCs w:val="20"/>
              </w:rPr>
              <w:t>Projekt nie określa odpowiedzialności operatora systemu za:</w:t>
            </w:r>
          </w:p>
          <w:p w14:paraId="6C5D8B5C"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jakość narzędzi AI wykorzystywanych w diagnostyce obrazowej,</w:t>
            </w:r>
          </w:p>
          <w:p w14:paraId="5BB83EF5"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błędy wynikające z działania systemu,</w:t>
            </w:r>
          </w:p>
          <w:p w14:paraId="3A8C132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procedury wycofania wadliwego narzędzia.</w:t>
            </w:r>
          </w:p>
          <w:p w14:paraId="3F1E3326" w14:textId="02B0B4F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Propozycja: Podmiot prowadzący system teleinformatyczny zapewnia zgodność narzędzi analitycznych wykorzystywanych w diagnostyce obrazowej z obowiązującymi standardami oraz prowadzi rejestr ich działania i błędów.</w:t>
            </w:r>
          </w:p>
          <w:p w14:paraId="15714C8B" w14:textId="504859FA"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Nie określono, kto odpowiada za jakość i bezpieczeństwo narzędzi AI dopuszczanych do użytku, jak należy postępować w przypadku wykrycia błędów systemu ani jakie są procedury wycofania narzędzia, które działa nieprawidłowo.</w:t>
            </w:r>
          </w:p>
        </w:tc>
        <w:tc>
          <w:tcPr>
            <w:tcW w:w="2855" w:type="dxa"/>
            <w:shd w:val="clear" w:color="auto" w:fill="FFFFFF" w:themeFill="background1"/>
          </w:tcPr>
          <w:p w14:paraId="2F4227BD" w14:textId="0F0B9F79" w:rsidR="0063705A" w:rsidRPr="001941B0" w:rsidRDefault="67BB5B7D"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r w:rsidR="3387B479" w:rsidRPr="001941B0">
              <w:rPr>
                <w:rFonts w:eastAsiaTheme="minorEastAsia"/>
                <w:b/>
                <w:sz w:val="20"/>
                <w:szCs w:val="20"/>
              </w:rPr>
              <w:t>.</w:t>
            </w:r>
          </w:p>
          <w:p w14:paraId="662E307E" w14:textId="79B8A6B7" w:rsidR="002D4CD8" w:rsidRPr="001941B0" w:rsidRDefault="002D4CD8" w:rsidP="002D4CD8">
            <w:pPr>
              <w:autoSpaceDE w:val="0"/>
              <w:autoSpaceDN w:val="0"/>
              <w:adjustRightInd w:val="0"/>
              <w:spacing w:after="0" w:line="240" w:lineRule="auto"/>
              <w:rPr>
                <w:rFonts w:eastAsiaTheme="minorEastAsia"/>
                <w:sz w:val="20"/>
                <w:szCs w:val="20"/>
              </w:rPr>
            </w:pPr>
            <w:r w:rsidRPr="001941B0">
              <w:rPr>
                <w:rFonts w:eastAsiaTheme="minorEastAsia"/>
                <w:sz w:val="20"/>
                <w:szCs w:val="20"/>
              </w:rPr>
              <w:t>Zakres odpowiedzialności wynika z innych przepisów prawnych.</w:t>
            </w:r>
          </w:p>
          <w:p w14:paraId="36923DAC" w14:textId="0A493097" w:rsidR="0063705A" w:rsidRPr="001941B0" w:rsidRDefault="7AB8416D" w:rsidP="0044265C">
            <w:pPr>
              <w:spacing w:after="0" w:line="240" w:lineRule="auto"/>
              <w:rPr>
                <w:rFonts w:eastAsiaTheme="minorEastAsia"/>
                <w:sz w:val="20"/>
                <w:szCs w:val="20"/>
              </w:rPr>
            </w:pPr>
            <w:r w:rsidRPr="001941B0">
              <w:rPr>
                <w:rFonts w:eastAsiaTheme="minorEastAsia"/>
                <w:sz w:val="20"/>
                <w:szCs w:val="20"/>
              </w:rPr>
              <w:t xml:space="preserve">Dostarczane rozwiązania </w:t>
            </w:r>
            <w:r w:rsidRPr="001941B0">
              <w:rPr>
                <w:rFonts w:ascii="Segoe UI" w:eastAsia="Segoe UI" w:hAnsi="Segoe UI" w:cs="Segoe UI"/>
                <w:color w:val="333333"/>
                <w:sz w:val="20"/>
                <w:szCs w:val="20"/>
              </w:rPr>
              <w:t xml:space="preserve">stanowią wyłącznie narzędzie wspomagające diagnostykę, zatem usługodawcy </w:t>
            </w:r>
            <w:r w:rsidR="0058076D" w:rsidRPr="001941B0">
              <w:rPr>
                <w:rFonts w:ascii="Segoe UI" w:eastAsia="Segoe UI" w:hAnsi="Segoe UI" w:cs="Segoe UI"/>
                <w:color w:val="333333"/>
                <w:sz w:val="20"/>
                <w:szCs w:val="20"/>
              </w:rPr>
              <w:t>mogą,</w:t>
            </w:r>
            <w:r w:rsidRPr="001941B0">
              <w:rPr>
                <w:rFonts w:ascii="Segoe UI" w:eastAsia="Segoe UI" w:hAnsi="Segoe UI" w:cs="Segoe UI"/>
                <w:color w:val="333333"/>
                <w:sz w:val="20"/>
                <w:szCs w:val="20"/>
              </w:rPr>
              <w:t xml:space="preserve"> ale nie muszą </w:t>
            </w:r>
            <w:r w:rsidR="6A634B9E" w:rsidRPr="001941B0">
              <w:rPr>
                <w:rFonts w:ascii="Segoe UI" w:eastAsia="Segoe UI" w:hAnsi="Segoe UI" w:cs="Segoe UI"/>
                <w:color w:val="333333"/>
                <w:sz w:val="20"/>
                <w:szCs w:val="20"/>
              </w:rPr>
              <w:t xml:space="preserve">z nich </w:t>
            </w:r>
            <w:r w:rsidRPr="001941B0">
              <w:rPr>
                <w:rFonts w:ascii="Segoe UI" w:eastAsia="Segoe UI" w:hAnsi="Segoe UI" w:cs="Segoe UI"/>
                <w:color w:val="333333"/>
                <w:sz w:val="20"/>
                <w:szCs w:val="20"/>
              </w:rPr>
              <w:t>korzystać</w:t>
            </w:r>
            <w:r w:rsidR="42FD9394" w:rsidRPr="001941B0">
              <w:rPr>
                <w:rFonts w:ascii="Segoe UI" w:eastAsia="Segoe UI" w:hAnsi="Segoe UI" w:cs="Segoe UI"/>
                <w:color w:val="333333"/>
                <w:sz w:val="20"/>
                <w:szCs w:val="20"/>
              </w:rPr>
              <w:t>.</w:t>
            </w:r>
            <w:r w:rsidRPr="001941B0">
              <w:rPr>
                <w:rFonts w:ascii="Segoe UI" w:eastAsia="Segoe UI" w:hAnsi="Segoe UI" w:cs="Segoe UI"/>
                <w:color w:val="333333"/>
                <w:sz w:val="20"/>
                <w:szCs w:val="20"/>
              </w:rPr>
              <w:t xml:space="preserve"> </w:t>
            </w:r>
            <w:r w:rsidR="07EAA211" w:rsidRPr="001941B0">
              <w:rPr>
                <w:rFonts w:ascii="Segoe UI" w:eastAsia="Segoe UI" w:hAnsi="Segoe UI" w:cs="Segoe UI"/>
                <w:color w:val="333333"/>
                <w:sz w:val="20"/>
                <w:szCs w:val="20"/>
              </w:rPr>
              <w:t>Z</w:t>
            </w:r>
            <w:r w:rsidRPr="001941B0">
              <w:rPr>
                <w:rFonts w:ascii="Segoe UI" w:eastAsia="Segoe UI" w:hAnsi="Segoe UI" w:cs="Segoe UI"/>
                <w:color w:val="333333"/>
                <w:sz w:val="20"/>
                <w:szCs w:val="20"/>
              </w:rPr>
              <w:t xml:space="preserve"> uwagi na powyższe zbędnym jest regulowanie zasad</w:t>
            </w:r>
            <w:r w:rsidR="78E318FF" w:rsidRPr="001941B0">
              <w:rPr>
                <w:rFonts w:ascii="Segoe UI" w:eastAsia="Segoe UI" w:hAnsi="Segoe UI" w:cs="Segoe UI"/>
                <w:color w:val="333333"/>
                <w:sz w:val="20"/>
                <w:szCs w:val="20"/>
              </w:rPr>
              <w:t xml:space="preserve"> odpowiedzialności. </w:t>
            </w:r>
            <w:r w:rsidR="435B3B10" w:rsidRPr="001941B0">
              <w:rPr>
                <w:rFonts w:ascii="Segoe UI" w:eastAsia="Segoe UI" w:hAnsi="Segoe UI" w:cs="Segoe UI"/>
                <w:color w:val="333333"/>
                <w:sz w:val="20"/>
                <w:szCs w:val="20"/>
              </w:rPr>
              <w:t>W</w:t>
            </w:r>
            <w:r w:rsidRPr="001941B0">
              <w:rPr>
                <w:rFonts w:ascii="Segoe UI" w:eastAsia="Segoe UI" w:hAnsi="Segoe UI" w:cs="Segoe UI"/>
                <w:color w:val="333333"/>
                <w:sz w:val="20"/>
                <w:szCs w:val="20"/>
              </w:rPr>
              <w:t xml:space="preserve">arto zaznaczyć, że art. 4 ustawy z dnia 5 grudnia 1996 ustawy o zawodach lekarza i lekarza dentysty nakreśla zasadę postępowania w każdym przypadku związanym z udzielaniem świadczeń zdrowotnych (nie tylko z użyciem narzędzi sztucznej inteligencji) zgodnie z którą, lekarz ma obowiązek wykonywać zawód zgodnie ze wskazaniami aktualnej wiedzy medycznej, dostępnymi mu metodami i środkami zapobiegania, rozpoznawania i leczenia chorób, zgodnie z zasadami etyki zawodowej oraz </w:t>
            </w:r>
            <w:r w:rsidRPr="001941B0">
              <w:rPr>
                <w:rFonts w:ascii="Segoe UI" w:eastAsia="Segoe UI" w:hAnsi="Segoe UI" w:cs="Segoe UI"/>
                <w:color w:val="333333"/>
                <w:sz w:val="20"/>
                <w:szCs w:val="20"/>
              </w:rPr>
              <w:lastRenderedPageBreak/>
              <w:t>należytą starannością.</w:t>
            </w:r>
            <w:r w:rsidR="07E06AC4" w:rsidRPr="001941B0">
              <w:rPr>
                <w:rFonts w:ascii="Segoe UI" w:eastAsia="Segoe UI" w:hAnsi="Segoe UI" w:cs="Segoe UI"/>
                <w:color w:val="333333"/>
                <w:sz w:val="20"/>
                <w:szCs w:val="20"/>
              </w:rPr>
              <w:t xml:space="preserve"> Odpowiedzialność za </w:t>
            </w:r>
            <w:r w:rsidR="2B6041A3" w:rsidRPr="001941B0">
              <w:rPr>
                <w:rFonts w:ascii="Segoe UI" w:eastAsia="Segoe UI" w:hAnsi="Segoe UI" w:cs="Segoe UI"/>
                <w:color w:val="333333"/>
                <w:sz w:val="20"/>
                <w:szCs w:val="20"/>
              </w:rPr>
              <w:t xml:space="preserve">ewetualne błędy w </w:t>
            </w:r>
            <w:r w:rsidR="006E399C" w:rsidRPr="001941B0">
              <w:rPr>
                <w:rFonts w:ascii="Segoe UI" w:eastAsia="Segoe UI" w:hAnsi="Segoe UI" w:cs="Segoe UI"/>
                <w:color w:val="333333"/>
                <w:sz w:val="20"/>
                <w:szCs w:val="20"/>
              </w:rPr>
              <w:t>procesie leczniczo</w:t>
            </w:r>
            <w:r w:rsidR="2B6041A3" w:rsidRPr="001941B0">
              <w:rPr>
                <w:rFonts w:ascii="Segoe UI" w:eastAsia="Segoe UI" w:hAnsi="Segoe UI" w:cs="Segoe UI"/>
                <w:color w:val="333333"/>
                <w:sz w:val="20"/>
                <w:szCs w:val="20"/>
              </w:rPr>
              <w:t xml:space="preserve"> – diagnostycznym spoczywa na lekarzu. </w:t>
            </w:r>
          </w:p>
        </w:tc>
      </w:tr>
      <w:tr w:rsidR="00FC7212" w:rsidRPr="001941B0" w14:paraId="725F32AF" w14:textId="77777777" w:rsidTr="7139DBB9">
        <w:tc>
          <w:tcPr>
            <w:tcW w:w="1125" w:type="dxa"/>
            <w:shd w:val="clear" w:color="auto" w:fill="FFFFFF" w:themeFill="background1"/>
          </w:tcPr>
          <w:p w14:paraId="6AA45136"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3CCC6B58" w14:textId="7B7F920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093EE9EF" w14:textId="63402BD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21327AB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regulacji dotyczących odpowiedzialności za automatyczne opisy badań. </w:t>
            </w:r>
            <w:r w:rsidRPr="001941B0">
              <w:rPr>
                <w:sz w:val="20"/>
                <w:szCs w:val="20"/>
              </w:rPr>
              <w:t xml:space="preserve"> </w:t>
            </w:r>
            <w:r w:rsidRPr="001941B0">
              <w:rPr>
                <w:rFonts w:eastAsiaTheme="minorEastAsia"/>
                <w:sz w:val="20"/>
                <w:szCs w:val="20"/>
              </w:rPr>
              <w:t>Projekt nie wskazuje, czy możliwe będzie automatyczne generowanie opisów badań obrazowych bez udziału radiologa.</w:t>
            </w:r>
          </w:p>
          <w:p w14:paraId="55763FEF"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Automatycznie wygenerowany opis badania obrazowego nie może stanowić ostatecznej dokumentacji medycznej bez autoryzacji lekarza radiologa.</w:t>
            </w:r>
          </w:p>
          <w:p w14:paraId="4DA13CEE" w14:textId="7348F02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Nie określono, czy automatycznie wygenerowany opis może stanowić dokumentację medyczną sam w sobie, ani kto ponosi odpowiedzialność za jego treść w przypadku błędu.</w:t>
            </w:r>
          </w:p>
        </w:tc>
        <w:tc>
          <w:tcPr>
            <w:tcW w:w="2855" w:type="dxa"/>
            <w:shd w:val="clear" w:color="auto" w:fill="FFFFFF" w:themeFill="background1"/>
          </w:tcPr>
          <w:p w14:paraId="4DEDCA96" w14:textId="15DDFACD" w:rsidR="0063705A" w:rsidRPr="001941B0" w:rsidRDefault="00130AB5"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Wyjaśnienie</w:t>
            </w:r>
          </w:p>
          <w:p w14:paraId="439AAE3A" w14:textId="2EA25BA6" w:rsidR="00240274" w:rsidRPr="001941B0" w:rsidRDefault="0024027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Odpowiedzialność wynika z ogóln</w:t>
            </w:r>
            <w:r w:rsidR="007B6459" w:rsidRPr="001941B0">
              <w:rPr>
                <w:rFonts w:eastAsiaTheme="minorEastAsia"/>
                <w:sz w:val="20"/>
                <w:szCs w:val="20"/>
              </w:rPr>
              <w:t>ych</w:t>
            </w:r>
            <w:r w:rsidRPr="001941B0">
              <w:rPr>
                <w:rFonts w:eastAsiaTheme="minorEastAsia"/>
                <w:sz w:val="20"/>
                <w:szCs w:val="20"/>
              </w:rPr>
              <w:t xml:space="preserve"> </w:t>
            </w:r>
            <w:r w:rsidR="0051402C" w:rsidRPr="001941B0">
              <w:rPr>
                <w:rFonts w:eastAsiaTheme="minorEastAsia"/>
                <w:sz w:val="20"/>
                <w:szCs w:val="20"/>
              </w:rPr>
              <w:t>zasad dotyczących p</w:t>
            </w:r>
            <w:r w:rsidRPr="001941B0">
              <w:rPr>
                <w:rFonts w:eastAsiaTheme="minorEastAsia"/>
                <w:sz w:val="20"/>
                <w:szCs w:val="20"/>
              </w:rPr>
              <w:t>rawa wykonywania zawodu</w:t>
            </w:r>
            <w:r w:rsidR="0051402C" w:rsidRPr="001941B0">
              <w:rPr>
                <w:rFonts w:eastAsiaTheme="minorEastAsia"/>
                <w:sz w:val="20"/>
                <w:szCs w:val="20"/>
              </w:rPr>
              <w:t xml:space="preserve"> lekarza</w:t>
            </w:r>
            <w:r w:rsidR="00AF4384" w:rsidRPr="001941B0">
              <w:rPr>
                <w:rFonts w:eastAsiaTheme="minorEastAsia"/>
                <w:sz w:val="20"/>
                <w:szCs w:val="20"/>
              </w:rPr>
              <w:t xml:space="preserve"> – lekarz bazując na aktualnej wiedzy medycznej </w:t>
            </w:r>
            <w:r w:rsidR="000E0FF3" w:rsidRPr="001941B0">
              <w:rPr>
                <w:rFonts w:eastAsiaTheme="minorEastAsia"/>
                <w:sz w:val="20"/>
                <w:szCs w:val="20"/>
              </w:rPr>
              <w:t>odpowiada za proces diagnostyki i leczenia.</w:t>
            </w:r>
          </w:p>
          <w:p w14:paraId="24845DEC" w14:textId="492CF912" w:rsidR="00967CE2" w:rsidRPr="001941B0" w:rsidRDefault="007232A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Kwestia uregulowania odpowiedzialności za korzystanie z systemów AI </w:t>
            </w:r>
            <w:r w:rsidR="00C161E0" w:rsidRPr="001941B0">
              <w:rPr>
                <w:rFonts w:eastAsiaTheme="minorEastAsia"/>
                <w:sz w:val="20"/>
                <w:szCs w:val="20"/>
              </w:rPr>
              <w:t xml:space="preserve">jest </w:t>
            </w:r>
            <w:r w:rsidRPr="001941B0">
              <w:rPr>
                <w:rFonts w:eastAsiaTheme="minorEastAsia"/>
                <w:sz w:val="20"/>
                <w:szCs w:val="20"/>
              </w:rPr>
              <w:t>poza zakresem projektowanych regulacji.</w:t>
            </w:r>
          </w:p>
          <w:p w14:paraId="4161F719" w14:textId="5C1C72D7" w:rsidR="00130AB5" w:rsidRPr="001941B0" w:rsidRDefault="00A14B8C" w:rsidP="4E799236">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Projekt nie przewiduje możliwości zatwierdzania opisów </w:t>
            </w:r>
            <w:r w:rsidR="001167EC" w:rsidRPr="001941B0">
              <w:rPr>
                <w:rFonts w:eastAsiaTheme="minorEastAsia"/>
                <w:sz w:val="20"/>
                <w:szCs w:val="20"/>
              </w:rPr>
              <w:t>badań obrazowych bez udziału lekarza</w:t>
            </w:r>
            <w:r w:rsidR="002526FA" w:rsidRPr="001941B0">
              <w:rPr>
                <w:rFonts w:eastAsiaTheme="minorEastAsia"/>
                <w:sz w:val="20"/>
                <w:szCs w:val="20"/>
              </w:rPr>
              <w:t xml:space="preserve"> – ostatecznie powstaje dokumentacja elektroniczna podpisana przez lekarza.</w:t>
            </w:r>
          </w:p>
          <w:p w14:paraId="3DAB5EC3" w14:textId="4C3F135B" w:rsidR="00130AB5" w:rsidRPr="001941B0" w:rsidRDefault="69957126" w:rsidP="002526FA">
            <w:pPr>
              <w:autoSpaceDE w:val="0"/>
              <w:autoSpaceDN w:val="0"/>
              <w:adjustRightInd w:val="0"/>
              <w:spacing w:after="0" w:line="240" w:lineRule="auto"/>
              <w:rPr>
                <w:rFonts w:eastAsiaTheme="minorEastAsia"/>
                <w:sz w:val="20"/>
                <w:szCs w:val="20"/>
              </w:rPr>
            </w:pPr>
            <w:r w:rsidRPr="001941B0">
              <w:rPr>
                <w:rFonts w:eastAsiaTheme="minorEastAsia"/>
                <w:sz w:val="20"/>
                <w:szCs w:val="20"/>
              </w:rPr>
              <w:t>Jw.</w:t>
            </w:r>
          </w:p>
        </w:tc>
      </w:tr>
      <w:tr w:rsidR="00FC7212" w:rsidRPr="001941B0" w14:paraId="6658939E" w14:textId="77777777" w:rsidTr="7139DBB9">
        <w:tc>
          <w:tcPr>
            <w:tcW w:w="1125" w:type="dxa"/>
            <w:shd w:val="clear" w:color="auto" w:fill="FFFFFF" w:themeFill="background1"/>
          </w:tcPr>
          <w:p w14:paraId="4928473B"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29416C64" w14:textId="279AD5B6"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4DE7F685" w14:textId="4AB0E869"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42B34742"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574719C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5642C71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1) </w:t>
            </w:r>
            <w:r w:rsidRPr="001941B0">
              <w:rPr>
                <w:rFonts w:eastAsiaTheme="minorEastAsia"/>
                <w:b/>
                <w:sz w:val="20"/>
                <w:szCs w:val="20"/>
                <w:u w:val="single"/>
              </w:rPr>
              <w:t>w art. 11a w ust. 5 dodaje się pkt 4 w brzmieniu:</w:t>
            </w:r>
            <w:r w:rsidRPr="001941B0">
              <w:rPr>
                <w:rFonts w:eastAsiaTheme="minorEastAsia"/>
                <w:b/>
                <w:sz w:val="20"/>
                <w:szCs w:val="20"/>
              </w:rPr>
              <w:t xml:space="preserve"> </w:t>
            </w:r>
          </w:p>
          <w:p w14:paraId="36A1B4F7" w14:textId="5F25A14B"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u w:val="single"/>
              </w:rPr>
              <w:t>„</w:t>
            </w:r>
            <w:r w:rsidRPr="001941B0">
              <w:rPr>
                <w:rFonts w:eastAsiaTheme="minorEastAsia"/>
                <w:i/>
                <w:sz w:val="20"/>
                <w:szCs w:val="20"/>
              </w:rPr>
              <w:t xml:space="preserve">4) Agencji Oceny Technologii Medycznej i Taryfikacji w celu w celu realizacji zadań określonych w art. 31n pkt 1-3d i 4a-5 ustawy z dnia 27 sierpnia 2004 r. o świadczeniach opieki </w:t>
            </w:r>
            <w:r w:rsidRPr="001941B0">
              <w:rPr>
                <w:rFonts w:eastAsiaTheme="minorEastAsia"/>
                <w:i/>
                <w:sz w:val="20"/>
                <w:szCs w:val="20"/>
              </w:rPr>
              <w:lastRenderedPageBreak/>
              <w:t xml:space="preserve">zdrowotnej finansowanych ze środków publicznych oraz w celu dokonywania analiz na rzecz systemu ochrony zdrowia.” </w:t>
            </w:r>
          </w:p>
          <w:p w14:paraId="7594F375"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Uzasadnienie</w:t>
            </w:r>
            <w:r w:rsidRPr="001941B0">
              <w:rPr>
                <w:rFonts w:eastAsiaTheme="minorEastAsia"/>
                <w:sz w:val="20"/>
                <w:szCs w:val="20"/>
              </w:rPr>
              <w:t xml:space="preserve"> </w:t>
            </w:r>
          </w:p>
          <w:p w14:paraId="14645D85" w14:textId="0D5957F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Zasadne jest dodanie przepisu, na podstawie którego Agencja uzyska prawo do otrzymywania nieprzetworzonych danych źródłowych o prowadzonej opiece onkologicznej z systemu Krajowej Sieci Onkologicznej w celu realizacji  zadań ustawowych Agencji określonych w art. 31n pkt 1-3d i 4a-5 ustawy z dnia 27 sierpnia 2004 r. o świadczeniach opieki zdrowotnej finansowanych ze środków publicznych. Dane te są niezbędne Agencji w celu dokonywania analiz na rzecz systemu ochrony zdrowia, jako instytucji powołanej do oceny technologii medycznych i dokonywania wyceny świadczeń opieki zdrowotnej finansowanych ze środków publicznych. </w:t>
            </w:r>
          </w:p>
          <w:p w14:paraId="56E91D03" w14:textId="6964790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Przedmiotowe dane są również niezbędne Agencji  w celu uzyskania rezultatów Projektów realizowanych w Agencji w ramach Programu Badawczo-Rozwojowego.</w:t>
            </w:r>
          </w:p>
        </w:tc>
        <w:tc>
          <w:tcPr>
            <w:tcW w:w="2855" w:type="dxa"/>
            <w:shd w:val="clear" w:color="auto" w:fill="FFFFFF" w:themeFill="background1"/>
          </w:tcPr>
          <w:p w14:paraId="72D69995" w14:textId="56DDB9FA" w:rsidR="0063705A" w:rsidRPr="001941B0" w:rsidRDefault="00E961BF"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5DCC18B3" w14:textId="2ECA1434" w:rsidR="005E2A80" w:rsidRPr="001941B0" w:rsidRDefault="005E2A8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w:t>
            </w:r>
            <w:r w:rsidR="008D766C" w:rsidRPr="001941B0">
              <w:rPr>
                <w:rFonts w:eastAsiaTheme="minorEastAsia"/>
                <w:sz w:val="20"/>
                <w:szCs w:val="20"/>
              </w:rPr>
              <w:t>a</w:t>
            </w:r>
            <w:r w:rsidRPr="001941B0">
              <w:rPr>
                <w:rFonts w:eastAsiaTheme="minorEastAsia"/>
                <w:sz w:val="20"/>
                <w:szCs w:val="20"/>
              </w:rPr>
              <w:t xml:space="preserve"> poza zakresem regulacji</w:t>
            </w:r>
            <w:r w:rsidR="008D766C" w:rsidRPr="001941B0">
              <w:rPr>
                <w:rFonts w:eastAsiaTheme="minorEastAsia"/>
                <w:sz w:val="20"/>
                <w:szCs w:val="20"/>
              </w:rPr>
              <w:t>.</w:t>
            </w:r>
          </w:p>
          <w:p w14:paraId="480AEDFB" w14:textId="43C570F6" w:rsidR="00C92220" w:rsidRPr="001941B0" w:rsidRDefault="00C92220" w:rsidP="006E0CB2">
            <w:pPr>
              <w:autoSpaceDE w:val="0"/>
              <w:autoSpaceDN w:val="0"/>
              <w:adjustRightInd w:val="0"/>
              <w:spacing w:after="0" w:line="240" w:lineRule="auto"/>
              <w:rPr>
                <w:rFonts w:eastAsiaTheme="minorEastAsia"/>
                <w:sz w:val="20"/>
                <w:szCs w:val="20"/>
              </w:rPr>
            </w:pPr>
          </w:p>
        </w:tc>
      </w:tr>
      <w:tr w:rsidR="00FC7212" w:rsidRPr="001941B0" w14:paraId="677D3EAD" w14:textId="77777777" w:rsidTr="7139DBB9">
        <w:tc>
          <w:tcPr>
            <w:tcW w:w="1125" w:type="dxa"/>
            <w:shd w:val="clear" w:color="auto" w:fill="FFFFFF" w:themeFill="background1"/>
          </w:tcPr>
          <w:p w14:paraId="0A7DB374"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135A2F80" w14:textId="1E8032E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05DD0A7C" w14:textId="72131B6D"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79BFC7A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4D5AA37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6ADF4B8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2) </w:t>
            </w:r>
            <w:r w:rsidRPr="001941B0">
              <w:rPr>
                <w:rFonts w:eastAsiaTheme="minorEastAsia"/>
                <w:b/>
                <w:sz w:val="20"/>
                <w:szCs w:val="20"/>
                <w:u w:val="single"/>
              </w:rPr>
              <w:t xml:space="preserve">w art. 12: </w:t>
            </w:r>
            <w:r w:rsidRPr="001941B0">
              <w:rPr>
                <w:rFonts w:eastAsiaTheme="minorEastAsia"/>
                <w:b/>
                <w:sz w:val="20"/>
                <w:szCs w:val="20"/>
              </w:rPr>
              <w:t xml:space="preserve"> </w:t>
            </w:r>
          </w:p>
          <w:p w14:paraId="7ABB6651" w14:textId="6B24BC3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a) dodaje się ust. 8a w brzmieniu:  </w:t>
            </w:r>
          </w:p>
          <w:p w14:paraId="7EE42AED" w14:textId="4A540AF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„8a. Administrator systemu, o którym mowa w art. 10 ust. 7 jest zobowiązany do nieodpłatnego udostępniania danych gromadzonych w systemie SIM, o których mowa w art. 10 ust. 1 i 2, art. 11 ust. 4, art. 11a ust. 2 i ust. 3 </w:t>
            </w:r>
            <w:r w:rsidRPr="001941B0">
              <w:rPr>
                <w:rFonts w:eastAsiaTheme="minorEastAsia"/>
                <w:sz w:val="20"/>
                <w:szCs w:val="20"/>
              </w:rPr>
              <w:t>pkt 2 i 3</w:t>
            </w:r>
            <w:r w:rsidRPr="001941B0">
              <w:rPr>
                <w:rFonts w:eastAsiaTheme="minorEastAsia"/>
                <w:i/>
                <w:sz w:val="20"/>
                <w:szCs w:val="20"/>
              </w:rPr>
              <w:t xml:space="preserve">, art. 12 ust. 1 i w art. 29 ust. 2 Agencji Oceny Technologii Medycznych i Taryfikacji, w formacie i częstotliwości określonej przez Agencję, w zakresie niezbędnym do realizacji zadań określonych w art. 31n w pkt 1-3d i 4a-4g ustawy o świadczeniach zdrowotnych finansowanych ze środków publicznych oraz w celu dokonywania analiz na rzecz systemu ochrony zdrowia;” </w:t>
            </w:r>
            <w:r w:rsidRPr="001941B0">
              <w:rPr>
                <w:rFonts w:eastAsiaTheme="minorEastAsia"/>
                <w:sz w:val="20"/>
                <w:szCs w:val="20"/>
              </w:rPr>
              <w:t xml:space="preserve"> </w:t>
            </w:r>
          </w:p>
          <w:p w14:paraId="181B9060" w14:textId="274EDC8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b) ust. 9 otrzymuje brzmienie:  </w:t>
            </w:r>
          </w:p>
          <w:p w14:paraId="2A28E171" w14:textId="6843D61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lastRenderedPageBreak/>
              <w:t>"9. Udostępnianie danych przetwarzanych w SIM podmiotom, o których mowa w ust. 3-8a, jest nieodpłatne</w:t>
            </w:r>
            <w:r w:rsidRPr="001941B0">
              <w:rPr>
                <w:rFonts w:eastAsiaTheme="minorEastAsia"/>
                <w:sz w:val="20"/>
                <w:szCs w:val="20"/>
              </w:rPr>
              <w:t xml:space="preserve">.”  </w:t>
            </w:r>
          </w:p>
          <w:p w14:paraId="7D5D7421"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 xml:space="preserve">Uzasadnienie </w:t>
            </w:r>
            <w:r w:rsidRPr="001941B0">
              <w:rPr>
                <w:rFonts w:eastAsiaTheme="minorEastAsia"/>
                <w:sz w:val="20"/>
                <w:szCs w:val="20"/>
              </w:rPr>
              <w:t xml:space="preserve"> </w:t>
            </w:r>
          </w:p>
          <w:p w14:paraId="0BE7E761" w14:textId="1E1162CA"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Dane z Elektronicznych Dokumentacji Medycznych, o których mowa w art. 10 ust. 1  i 2, gromadzone w systemie SIM, są niezbędne dla Agencji do realizacji zadań ustawowych Agencji, o których mowa w art. 31n ustawy o świadczeniach zdrowotnych finansowanych ze środków publicznych, zwanej dalej ustawą o świadczeniach. Dane te są również niezbędne do uzyskania rezultatów Projektów realizowanych aktualnie w Agencji w ramach Programu Badawczo-Rozwojowego.</w:t>
            </w:r>
          </w:p>
        </w:tc>
        <w:tc>
          <w:tcPr>
            <w:tcW w:w="2855" w:type="dxa"/>
            <w:shd w:val="clear" w:color="auto" w:fill="FFFFFF" w:themeFill="background1"/>
          </w:tcPr>
          <w:p w14:paraId="17E01A5F" w14:textId="21A1ED63" w:rsidR="00182E4E" w:rsidRPr="001941B0" w:rsidRDefault="00182E4E"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30B2CE21" w14:textId="78EB2166" w:rsidR="0063705A" w:rsidRPr="001941B0" w:rsidRDefault="00182E4E" w:rsidP="4E799236">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5AA42DC8" w14:textId="043A4F43" w:rsidR="0063705A" w:rsidRPr="001941B0" w:rsidRDefault="0063705A" w:rsidP="006E0CB2">
            <w:pPr>
              <w:autoSpaceDE w:val="0"/>
              <w:autoSpaceDN w:val="0"/>
              <w:adjustRightInd w:val="0"/>
              <w:spacing w:after="0" w:line="240" w:lineRule="auto"/>
              <w:rPr>
                <w:rFonts w:eastAsiaTheme="minorEastAsia"/>
                <w:sz w:val="20"/>
                <w:szCs w:val="20"/>
              </w:rPr>
            </w:pPr>
          </w:p>
        </w:tc>
      </w:tr>
      <w:tr w:rsidR="00FC7212" w:rsidRPr="001941B0" w14:paraId="5C1E9F30" w14:textId="77777777" w:rsidTr="7139DBB9">
        <w:tc>
          <w:tcPr>
            <w:tcW w:w="1125" w:type="dxa"/>
            <w:shd w:val="clear" w:color="auto" w:fill="FFFFFF" w:themeFill="background1"/>
          </w:tcPr>
          <w:p w14:paraId="4ADA57B3" w14:textId="77777777" w:rsidR="0063705A" w:rsidRPr="001941B0" w:rsidRDefault="0063705A" w:rsidP="006F7E66">
            <w:pPr>
              <w:pStyle w:val="Akapitzlist"/>
              <w:numPr>
                <w:ilvl w:val="0"/>
                <w:numId w:val="3"/>
              </w:numPr>
              <w:autoSpaceDE w:val="0"/>
              <w:autoSpaceDN w:val="0"/>
              <w:adjustRightInd w:val="0"/>
              <w:spacing w:after="0" w:line="240" w:lineRule="auto"/>
              <w:ind w:left="0" w:firstLine="0"/>
              <w:jc w:val="both"/>
              <w:rPr>
                <w:rFonts w:eastAsia="Times New Roman" w:cstheme="minorHAnsi"/>
                <w:sz w:val="20"/>
                <w:szCs w:val="20"/>
                <w:lang w:eastAsia="pl-PL"/>
              </w:rPr>
            </w:pPr>
          </w:p>
        </w:tc>
        <w:tc>
          <w:tcPr>
            <w:tcW w:w="2735" w:type="dxa"/>
            <w:shd w:val="clear" w:color="auto" w:fill="FFFFFF" w:themeFill="background1"/>
          </w:tcPr>
          <w:p w14:paraId="35635A99" w14:textId="0848B26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F9780FD" w14:textId="621006C1"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764D0382"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038C7A9B"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6BB27027"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3) </w:t>
            </w:r>
            <w:r w:rsidRPr="001941B0">
              <w:rPr>
                <w:rFonts w:eastAsiaTheme="minorEastAsia"/>
                <w:b/>
                <w:sz w:val="20"/>
                <w:szCs w:val="20"/>
                <w:u w:val="single"/>
              </w:rPr>
              <w:t xml:space="preserve">w art. 17 ust. 2: </w:t>
            </w:r>
            <w:r w:rsidRPr="001941B0">
              <w:rPr>
                <w:rFonts w:eastAsiaTheme="minorEastAsia"/>
                <w:b/>
                <w:sz w:val="20"/>
                <w:szCs w:val="20"/>
              </w:rPr>
              <w:t xml:space="preserve"> </w:t>
            </w:r>
          </w:p>
          <w:p w14:paraId="145E0945" w14:textId="4C013180"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a) pkt 2 otrzymuje brzmienie:  </w:t>
            </w:r>
          </w:p>
          <w:p w14:paraId="176A8E95" w14:textId="5E6993B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„2) identyfikator pracownika medycznego, o którym mowa w art. 17c ust. 5;”  </w:t>
            </w:r>
          </w:p>
          <w:p w14:paraId="6DEC9CC8" w14:textId="37BEF329"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b) w pkt 9 kropkę zamienia się na średnik i dodaje się pkt 10 w brzmieniu:  </w:t>
            </w:r>
          </w:p>
          <w:p w14:paraId="3908A63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„10) poziom wykształcenia, określonego na mocy odrębnych przepisów jeżeli dotyczy.”  </w:t>
            </w:r>
          </w:p>
          <w:p w14:paraId="22F21837"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 xml:space="preserve">Uzasadnienie </w:t>
            </w:r>
            <w:r w:rsidRPr="001941B0">
              <w:rPr>
                <w:rFonts w:eastAsiaTheme="minorEastAsia"/>
                <w:sz w:val="20"/>
                <w:szCs w:val="20"/>
              </w:rPr>
              <w:t xml:space="preserve"> </w:t>
            </w:r>
          </w:p>
          <w:p w14:paraId="238305B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Nowe brzmienie przepisu będzie zgodne z jednolitą definicją identyfikatora pracownika medycznego określoną dla wszystkich systemów informatycznych w ochronie zdrowia. Zawarta jest ona w art. 17 c ust. 5 ustawy o systemie informacji w ochronie zdrowia. Przedmiotowa, jednolita definicja powinna obowiązywać we wszystkich aktach prawnych, (tym bardziej, w tym samym akcie prawnym) w których jest przytaczana, oraz stosowana we wszystkich systemach informatycznych, gdzie rejestrowany jest identyfikator pracownika medycznego.   </w:t>
            </w:r>
          </w:p>
          <w:p w14:paraId="323C48D8" w14:textId="3E53CF6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W Centralnym Wykazie Pracowników Medycznych jest przetwarzana informacja  o poziomie wykształcenia pracowników medycznych w odniesieniu do niektórych zawodów medycznych (np. fizjoterapeutów). W przypadku gdyby przepis ten został uzupełniony o tą informację, Agencja również mogłaby pozyskiwać te dane na potrzeby realizacji zadań ustawowych Agencji, o których mowa w 31n pkt 1-3d i 4a-4g ustawy o świadczeniach. Przedmiotowe dane są również niezbędne Agencji  w celu uzyskania rezultatów Projektów realizowanych w Agencji w ramach Programu Badawczo-Rozwojowego. </w:t>
            </w:r>
          </w:p>
        </w:tc>
        <w:tc>
          <w:tcPr>
            <w:tcW w:w="2855" w:type="dxa"/>
            <w:shd w:val="clear" w:color="auto" w:fill="FFFFFF" w:themeFill="background1"/>
          </w:tcPr>
          <w:p w14:paraId="3353916D" w14:textId="27C806D9" w:rsidR="00182E4E" w:rsidRPr="001941B0" w:rsidRDefault="00182E4E"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27FECDAD" w14:textId="78BD2F0B" w:rsidR="00182E4E" w:rsidRPr="001941B0" w:rsidRDefault="00182E4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1EAEB43C" w14:textId="12F2E27D" w:rsidR="0063705A" w:rsidRPr="001941B0" w:rsidRDefault="208668A6" w:rsidP="4E799236">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w:t>
            </w:r>
          </w:p>
          <w:p w14:paraId="4DC365A1" w14:textId="3F428FF8" w:rsidR="0063705A" w:rsidRPr="001941B0" w:rsidRDefault="0063705A" w:rsidP="006E0CB2">
            <w:pPr>
              <w:autoSpaceDE w:val="0"/>
              <w:autoSpaceDN w:val="0"/>
              <w:adjustRightInd w:val="0"/>
              <w:spacing w:after="0" w:line="240" w:lineRule="auto"/>
              <w:rPr>
                <w:rFonts w:eastAsiaTheme="minorEastAsia"/>
                <w:sz w:val="20"/>
                <w:szCs w:val="20"/>
              </w:rPr>
            </w:pPr>
          </w:p>
        </w:tc>
      </w:tr>
      <w:tr w:rsidR="00FC7212" w:rsidRPr="001941B0" w14:paraId="02153E5D" w14:textId="77777777" w:rsidTr="7139DBB9">
        <w:tc>
          <w:tcPr>
            <w:tcW w:w="1125" w:type="dxa"/>
            <w:shd w:val="clear" w:color="auto" w:fill="FFFFFF" w:themeFill="background1"/>
          </w:tcPr>
          <w:p w14:paraId="1DCDDC24"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D831389" w14:textId="3E4F33B8"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28917365" w14:textId="1BDFF228"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51115BAE"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21F70A5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7706F0F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4) </w:t>
            </w:r>
            <w:r w:rsidRPr="001941B0">
              <w:rPr>
                <w:rFonts w:eastAsiaTheme="minorEastAsia"/>
                <w:b/>
                <w:sz w:val="20"/>
                <w:szCs w:val="20"/>
                <w:u w:val="single"/>
              </w:rPr>
              <w:t xml:space="preserve">w art. 17b dodaje się ust. 3 i 4 w brzmieniu: </w:t>
            </w:r>
            <w:r w:rsidRPr="001941B0">
              <w:rPr>
                <w:rFonts w:eastAsiaTheme="minorEastAsia"/>
                <w:b/>
                <w:sz w:val="20"/>
                <w:szCs w:val="20"/>
              </w:rPr>
              <w:t xml:space="preserve"> </w:t>
            </w:r>
          </w:p>
          <w:p w14:paraId="2C98B72F"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„3. Administrator, o którym mowa w ust. 1, jest obowiązany udostępniać nieodpłatnie dane o których mowa w art. 17 ust. 2 i art. 17a ust. 2 Agencji Oceny Technologii Medycznych  i Taryfikacji w celu realizacji zadań Agencji, o których mowa w art  31n pkt 1-3d i 4a-4g ustawy o świadczeniach zdrowotnych finansowanych ze środków publicznych oraz w celu dokonywania analiz na rzecz systemu ochrony zdrowia. </w:t>
            </w:r>
            <w:r w:rsidRPr="001941B0">
              <w:rPr>
                <w:rFonts w:eastAsiaTheme="minorEastAsia"/>
                <w:sz w:val="20"/>
                <w:szCs w:val="20"/>
              </w:rPr>
              <w:t xml:space="preserve"> </w:t>
            </w:r>
          </w:p>
          <w:p w14:paraId="79B84D4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4. Administrator systemu, o którym mowa w ust. 3 uzgadnia z Agencją sposób, format  i częstotliwość udostępniania danych, o których mowa w ust. 3.”; </w:t>
            </w:r>
            <w:r w:rsidRPr="001941B0">
              <w:rPr>
                <w:rFonts w:eastAsiaTheme="minorEastAsia"/>
                <w:sz w:val="20"/>
                <w:szCs w:val="20"/>
              </w:rPr>
              <w:t xml:space="preserve"> </w:t>
            </w:r>
          </w:p>
          <w:p w14:paraId="65809EE6"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 xml:space="preserve">Uzasadnienie </w:t>
            </w:r>
            <w:r w:rsidRPr="001941B0">
              <w:rPr>
                <w:rFonts w:eastAsiaTheme="minorEastAsia"/>
                <w:sz w:val="20"/>
                <w:szCs w:val="20"/>
              </w:rPr>
              <w:t xml:space="preserve"> </w:t>
            </w:r>
          </w:p>
          <w:p w14:paraId="6F04B0A5" w14:textId="465CDB22"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Dane z Centralnego Wykazu Pracowników Medycznych, o których mowa w art. 17 ust. 2 oraz art. 17a ust. 2 ustawy o systemie informacji w ochronie zdrowia  są niezbędne dla Agencji do realizacji zadań ustawowych Agencji, o których mowa w art. 31n ustawy o świadczeniach. Przedmiotowe dane są również niezbędne Agencji  w celu uzyskania rezultatów Projektów realizowanych w Agencji w ramach Programu Badawczo-Rozwojowego.</w:t>
            </w:r>
          </w:p>
        </w:tc>
        <w:tc>
          <w:tcPr>
            <w:tcW w:w="2855" w:type="dxa"/>
            <w:shd w:val="clear" w:color="auto" w:fill="FFFFFF" w:themeFill="background1"/>
          </w:tcPr>
          <w:p w14:paraId="087D8CD7" w14:textId="5104BECF" w:rsidR="002E2893" w:rsidRPr="001941B0" w:rsidRDefault="002E2893"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5390BB84" w14:textId="065FE906" w:rsidR="002E2893" w:rsidRPr="001941B0" w:rsidRDefault="002E289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25915ABE" w14:textId="0FD2F93F" w:rsidR="0063705A" w:rsidRPr="001941B0" w:rsidRDefault="0063705A" w:rsidP="4E799236">
            <w:pPr>
              <w:autoSpaceDE w:val="0"/>
              <w:autoSpaceDN w:val="0"/>
              <w:adjustRightInd w:val="0"/>
              <w:spacing w:after="0" w:line="240" w:lineRule="auto"/>
              <w:rPr>
                <w:rFonts w:eastAsiaTheme="minorEastAsia"/>
                <w:sz w:val="20"/>
                <w:szCs w:val="20"/>
              </w:rPr>
            </w:pPr>
          </w:p>
          <w:p w14:paraId="21F9AAAC" w14:textId="779A046B" w:rsidR="0063705A" w:rsidRPr="001941B0" w:rsidRDefault="0063705A" w:rsidP="006E0CB2">
            <w:pPr>
              <w:autoSpaceDE w:val="0"/>
              <w:autoSpaceDN w:val="0"/>
              <w:adjustRightInd w:val="0"/>
              <w:spacing w:after="0" w:line="240" w:lineRule="auto"/>
              <w:rPr>
                <w:rFonts w:eastAsiaTheme="minorEastAsia"/>
                <w:sz w:val="20"/>
                <w:szCs w:val="20"/>
              </w:rPr>
            </w:pPr>
          </w:p>
        </w:tc>
      </w:tr>
      <w:tr w:rsidR="00FC7212" w:rsidRPr="001941B0" w14:paraId="1B0A6E9F" w14:textId="77777777" w:rsidTr="7139DBB9">
        <w:tc>
          <w:tcPr>
            <w:tcW w:w="1125" w:type="dxa"/>
            <w:shd w:val="clear" w:color="auto" w:fill="FFFFFF" w:themeFill="background1"/>
          </w:tcPr>
          <w:p w14:paraId="040619E8"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91C7B86" w14:textId="4DF1EDEF"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54BBB4E3" w14:textId="7959AC6A"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38B7FD8B"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058681E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2E2A4960"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5) </w:t>
            </w:r>
            <w:r w:rsidRPr="001941B0">
              <w:rPr>
                <w:rFonts w:eastAsiaTheme="minorEastAsia"/>
                <w:b/>
                <w:sz w:val="20"/>
                <w:szCs w:val="20"/>
                <w:u w:val="single"/>
              </w:rPr>
              <w:t xml:space="preserve">w art. 19 ust. 11 pkt 1 otrzymuje brzmienie: </w:t>
            </w:r>
            <w:r w:rsidRPr="001941B0">
              <w:rPr>
                <w:rFonts w:eastAsiaTheme="minorEastAsia"/>
                <w:b/>
                <w:sz w:val="20"/>
                <w:szCs w:val="20"/>
              </w:rPr>
              <w:t xml:space="preserve"> </w:t>
            </w:r>
          </w:p>
          <w:p w14:paraId="686190F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„1) dane, o których mowa w art. 4 ust. 3 pkt 1 lit. a, c, g, h, , n, o, p, r, t, v oraz pkt 2;” </w:t>
            </w:r>
            <w:r w:rsidRPr="001941B0">
              <w:rPr>
                <w:rFonts w:eastAsiaTheme="minorEastAsia"/>
                <w:sz w:val="20"/>
                <w:szCs w:val="20"/>
              </w:rPr>
              <w:t xml:space="preserve"> </w:t>
            </w:r>
          </w:p>
          <w:p w14:paraId="3BDBA7D3"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 xml:space="preserve">Uzasadnienie </w:t>
            </w:r>
            <w:r w:rsidRPr="001941B0">
              <w:rPr>
                <w:rFonts w:eastAsiaTheme="minorEastAsia"/>
                <w:sz w:val="20"/>
                <w:szCs w:val="20"/>
              </w:rPr>
              <w:t xml:space="preserve"> </w:t>
            </w:r>
          </w:p>
          <w:p w14:paraId="401744B4" w14:textId="616A1C29"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Dane z Krajowych Rejestrów Medycznych są niezbędne Agencji do realizacji zadań ustawowych Agencji, o których mowa w art. 31n ustawy o świadczeniach oraz w celu uzyskania rezultatów Projektów realizowanych aktualnie w Agencji w ramach Programu Badawczo-Rozwojowego. </w:t>
            </w:r>
          </w:p>
        </w:tc>
        <w:tc>
          <w:tcPr>
            <w:tcW w:w="2855" w:type="dxa"/>
            <w:shd w:val="clear" w:color="auto" w:fill="FFFFFF" w:themeFill="background1"/>
          </w:tcPr>
          <w:p w14:paraId="5CC7B294" w14:textId="77CDA151" w:rsidR="00E726F6" w:rsidRPr="001941B0" w:rsidRDefault="00E726F6"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741AAFCE" w14:textId="68322B92" w:rsidR="00E726F6" w:rsidRPr="001941B0" w:rsidRDefault="00E726F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47791A9D" w14:textId="0FD119D5" w:rsidR="0063705A" w:rsidRPr="001941B0" w:rsidRDefault="0063705A" w:rsidP="4E799236">
            <w:pPr>
              <w:autoSpaceDE w:val="0"/>
              <w:autoSpaceDN w:val="0"/>
              <w:adjustRightInd w:val="0"/>
              <w:spacing w:after="0" w:line="240" w:lineRule="auto"/>
              <w:rPr>
                <w:rFonts w:eastAsiaTheme="minorEastAsia"/>
                <w:sz w:val="20"/>
                <w:szCs w:val="20"/>
              </w:rPr>
            </w:pPr>
          </w:p>
          <w:p w14:paraId="57B377DE" w14:textId="6AA86937" w:rsidR="0063705A" w:rsidRPr="001941B0" w:rsidRDefault="0063705A" w:rsidP="006E0CB2">
            <w:pPr>
              <w:autoSpaceDE w:val="0"/>
              <w:autoSpaceDN w:val="0"/>
              <w:adjustRightInd w:val="0"/>
              <w:spacing w:after="0" w:line="240" w:lineRule="auto"/>
              <w:rPr>
                <w:rFonts w:eastAsiaTheme="minorEastAsia"/>
                <w:sz w:val="20"/>
                <w:szCs w:val="20"/>
              </w:rPr>
            </w:pPr>
          </w:p>
        </w:tc>
      </w:tr>
      <w:tr w:rsidR="00FC7212" w:rsidRPr="001941B0" w14:paraId="6AE70C90" w14:textId="77777777" w:rsidTr="7139DBB9">
        <w:tc>
          <w:tcPr>
            <w:tcW w:w="1125" w:type="dxa"/>
            <w:shd w:val="clear" w:color="auto" w:fill="FFFFFF" w:themeFill="background1"/>
          </w:tcPr>
          <w:p w14:paraId="2E57B96D"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6714E41" w14:textId="260BEBE8"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73D414A3" w14:textId="00384E1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10BF00D2"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0A8F3236"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7B2CBCE6"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6) </w:t>
            </w:r>
            <w:r w:rsidRPr="001941B0">
              <w:rPr>
                <w:rFonts w:eastAsiaTheme="minorEastAsia"/>
                <w:b/>
                <w:sz w:val="20"/>
                <w:szCs w:val="20"/>
                <w:u w:val="single"/>
              </w:rPr>
              <w:t xml:space="preserve">w art. 22 dodaje się ustęp 4ba w brzmieniu: </w:t>
            </w:r>
            <w:r w:rsidRPr="001941B0">
              <w:rPr>
                <w:rFonts w:eastAsiaTheme="minorEastAsia"/>
                <w:b/>
                <w:sz w:val="20"/>
                <w:szCs w:val="20"/>
              </w:rPr>
              <w:t xml:space="preserve"> </w:t>
            </w:r>
          </w:p>
          <w:p w14:paraId="086DD642" w14:textId="67F021E0"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„4ba. Prezes Funduszu zobowiązany jest do przekazywania pełnego zakresu danych przetwarzanych w systemie, o którym mowa w ust. 1 Agencji Oceny Technologii Medycznych i Taryfikacji po zamknięciu każdego okresu sprawozdawczego, w celu realizacji zadań Agencji określonych w art. 31n w pkt 1-3d i 4a-4e ustawy o świadczeniach zdrowotnych finansowanych ze środków publicznych oraz w celu dokonywania analiz na rzecz systemu ochrony zdrowia.</w:t>
            </w:r>
            <w:r w:rsidRPr="001941B0">
              <w:rPr>
                <w:rFonts w:eastAsiaTheme="minorEastAsia"/>
                <w:sz w:val="20"/>
                <w:szCs w:val="20"/>
              </w:rPr>
              <w:t xml:space="preserve">”  </w:t>
            </w:r>
          </w:p>
          <w:p w14:paraId="165E07EC" w14:textId="204A0489"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 xml:space="preserve">Uzasadnienie </w:t>
            </w:r>
            <w:r w:rsidRPr="001941B0">
              <w:rPr>
                <w:rFonts w:eastAsiaTheme="minorEastAsia"/>
                <w:sz w:val="20"/>
                <w:szCs w:val="20"/>
              </w:rPr>
              <w:t xml:space="preserve"> </w:t>
            </w:r>
          </w:p>
          <w:p w14:paraId="2A28A954" w14:textId="5C977EA6"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celu realizacji zadań Agencji związanych z wyceną taryf świadczeń oraz innych zadań zlecanych Agencji przez Ministra Zdrowia konieczne jest pozyskanie danych z zakresu sprawozdawanych w pełnym zakresie, jakim dysponuje Centrala NFZ w systemie rozliczanych przez NFZ świadczeń gwarantowanych, gromadzonych w systemie RUM NFZ. W </w:t>
            </w:r>
            <w:r w:rsidRPr="001941B0">
              <w:rPr>
                <w:rFonts w:eastAsiaTheme="minorEastAsia"/>
                <w:sz w:val="20"/>
                <w:szCs w:val="20"/>
              </w:rPr>
              <w:lastRenderedPageBreak/>
              <w:t xml:space="preserve">chwili obecnej dane gromadzone przez NFZ w oparciu o komunikat ŚWIAD, ZPOSP i LEK przekazywane są do Agencji w niepełnym zakresie i z różną częstotliwością. Obecny proces uzyskiwania przez Agencję tych danych z NFZ utrudnia, a nawet wręcz uniemożliwia niekiedy przeprowadzenie analiz w pełniejszym zakresie niż dotychczas i w oczekiwanych przez zleceniodawcę terminach. Przedmiotowe dane są również niezbędne Agencji  w celu uzyskania rezultatów Projektów realizowanych w Agencji w ramach Programu Badawczo-Rozwojowego. </w:t>
            </w:r>
          </w:p>
        </w:tc>
        <w:tc>
          <w:tcPr>
            <w:tcW w:w="2855" w:type="dxa"/>
            <w:shd w:val="clear" w:color="auto" w:fill="FFFFFF" w:themeFill="background1"/>
          </w:tcPr>
          <w:p w14:paraId="7F92FB69" w14:textId="6F99978D" w:rsidR="00E726F6" w:rsidRPr="001941B0" w:rsidRDefault="00E726F6"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44C3E3C7" w14:textId="4F9EE9C1" w:rsidR="00E726F6" w:rsidRPr="001941B0" w:rsidRDefault="00E726F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4E5C9B2E" w14:textId="1281A3FF" w:rsidR="4E799236" w:rsidRPr="001941B0" w:rsidRDefault="4E799236" w:rsidP="4E799236">
            <w:pPr>
              <w:spacing w:after="0" w:line="240" w:lineRule="auto"/>
              <w:rPr>
                <w:rFonts w:eastAsiaTheme="minorEastAsia"/>
                <w:sz w:val="20"/>
                <w:szCs w:val="20"/>
              </w:rPr>
            </w:pPr>
          </w:p>
          <w:p w14:paraId="74F4B595" w14:textId="1CBAD12A" w:rsidR="0063705A" w:rsidRPr="001941B0" w:rsidRDefault="0063705A" w:rsidP="0044265C">
            <w:pPr>
              <w:spacing w:after="0" w:line="240" w:lineRule="auto"/>
              <w:rPr>
                <w:rFonts w:eastAsiaTheme="minorEastAsia"/>
                <w:sz w:val="20"/>
                <w:szCs w:val="20"/>
              </w:rPr>
            </w:pPr>
          </w:p>
        </w:tc>
      </w:tr>
      <w:tr w:rsidR="00FC7212" w:rsidRPr="001941B0" w14:paraId="05D3B8A9" w14:textId="77777777" w:rsidTr="7139DBB9">
        <w:tc>
          <w:tcPr>
            <w:tcW w:w="1125" w:type="dxa"/>
            <w:shd w:val="clear" w:color="auto" w:fill="FFFFFF" w:themeFill="background1"/>
          </w:tcPr>
          <w:p w14:paraId="3CD9DED5"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D466839" w14:textId="517A4502"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61191A30" w14:textId="1B4509F0"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5AE9345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3F8ACAB2"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4DCDD86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7) </w:t>
            </w:r>
            <w:r w:rsidRPr="001941B0">
              <w:rPr>
                <w:rFonts w:eastAsiaTheme="minorEastAsia"/>
                <w:b/>
                <w:sz w:val="20"/>
                <w:szCs w:val="20"/>
                <w:u w:val="single"/>
              </w:rPr>
              <w:t xml:space="preserve">w art. 23 dodaje się  ust. 7 i 8 w brzmieniu: </w:t>
            </w:r>
            <w:r w:rsidRPr="001941B0">
              <w:rPr>
                <w:rFonts w:eastAsiaTheme="minorEastAsia"/>
                <w:b/>
                <w:sz w:val="20"/>
                <w:szCs w:val="20"/>
              </w:rPr>
              <w:t xml:space="preserve"> </w:t>
            </w:r>
          </w:p>
          <w:p w14:paraId="680EA222" w14:textId="3B1292C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„7. Administrator systemu, o którym mowa w ust. 5, udostępnia nieodpłatnie dane przetwarzane w systemie teleinformatycznym, o którym mowa w ust. 2 pkt 4  Agencji Oceny Technologii Medycznych i Taryfikacji w celu realizacji zadań Agencji, o których mowa  w art. 31n w pkt 1-3d i 4a-4g ustawy o świadczeniach zdrowotnych finansowanych ze środków publicznych oraz w celu dokonywania analiz na rzecz systemu ochrony zdrowia; </w:t>
            </w:r>
            <w:r w:rsidRPr="001941B0">
              <w:rPr>
                <w:rFonts w:eastAsiaTheme="minorEastAsia"/>
                <w:sz w:val="20"/>
                <w:szCs w:val="20"/>
              </w:rPr>
              <w:t xml:space="preserve"> </w:t>
            </w:r>
          </w:p>
          <w:p w14:paraId="146EE09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8. Administrator systemu, o którym mowa w ust. 7 uzgadnia z Agencją sposób, format i częstotliwość udostępniania danych, o których mowa w ust. 1.;” </w:t>
            </w:r>
            <w:r w:rsidRPr="001941B0">
              <w:rPr>
                <w:rFonts w:eastAsiaTheme="minorEastAsia"/>
                <w:sz w:val="20"/>
                <w:szCs w:val="20"/>
              </w:rPr>
              <w:t xml:space="preserve"> </w:t>
            </w:r>
          </w:p>
          <w:p w14:paraId="25F28E9C"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 xml:space="preserve">Uzasadnienie </w:t>
            </w:r>
            <w:r w:rsidRPr="001941B0">
              <w:rPr>
                <w:rFonts w:eastAsiaTheme="minorEastAsia"/>
                <w:sz w:val="20"/>
                <w:szCs w:val="20"/>
              </w:rPr>
              <w:t xml:space="preserve"> </w:t>
            </w:r>
          </w:p>
          <w:p w14:paraId="1B0E8838" w14:textId="24786DF1"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Dane przekazywane przez świadczeniodawców do Systemu Statystyki Ochrony Zdrowia (SSOZ) i w nim przetwarzane są niezbędne dla Agencji w zakresie niezagregowanym do realizacji zadań ustawowych Agencji, o których mowa w art. 31n pkt 1-3d i 4a-4g ustawy o świadczeniach. Dane z Systemu Statystyki Ochrony Zdrowia są również niezbędne Agencji w celu uzyskania rezultatów Projektów realizowanych aktualnie w Agencji w ramach Programu Badawczo- Rozwojowego.</w:t>
            </w:r>
          </w:p>
        </w:tc>
        <w:tc>
          <w:tcPr>
            <w:tcW w:w="2855" w:type="dxa"/>
            <w:shd w:val="clear" w:color="auto" w:fill="FFFFFF" w:themeFill="background1"/>
          </w:tcPr>
          <w:p w14:paraId="37095269" w14:textId="1687C315" w:rsidR="00D067B7" w:rsidRPr="001941B0" w:rsidRDefault="00D067B7"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7BAB478E" w14:textId="4CB48DE3" w:rsidR="00D067B7" w:rsidRPr="001941B0" w:rsidRDefault="00D067B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5C405C04" w14:textId="55C923C2" w:rsidR="4E799236" w:rsidRPr="001941B0" w:rsidRDefault="4E799236" w:rsidP="4E799236">
            <w:pPr>
              <w:spacing w:after="0" w:line="240" w:lineRule="auto"/>
              <w:rPr>
                <w:rFonts w:eastAsiaTheme="minorEastAsia"/>
                <w:sz w:val="20"/>
                <w:szCs w:val="20"/>
              </w:rPr>
            </w:pPr>
          </w:p>
          <w:p w14:paraId="178C8B96" w14:textId="23D42DA9" w:rsidR="0063705A" w:rsidRPr="001941B0" w:rsidRDefault="0063705A" w:rsidP="0044265C">
            <w:pPr>
              <w:spacing w:after="0" w:line="240" w:lineRule="auto"/>
              <w:rPr>
                <w:rFonts w:eastAsiaTheme="minorEastAsia"/>
                <w:sz w:val="20"/>
                <w:szCs w:val="20"/>
              </w:rPr>
            </w:pPr>
          </w:p>
        </w:tc>
      </w:tr>
      <w:tr w:rsidR="00FC7212" w:rsidRPr="001941B0" w14:paraId="378584B6" w14:textId="77777777" w:rsidTr="7139DBB9">
        <w:tc>
          <w:tcPr>
            <w:tcW w:w="1125" w:type="dxa"/>
            <w:shd w:val="clear" w:color="auto" w:fill="FFFFFF" w:themeFill="background1"/>
          </w:tcPr>
          <w:p w14:paraId="265FE398"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7AAFA89" w14:textId="462105AE"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055A3C14" w14:textId="6BFBBF0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5C2DD97E"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65FD99D4"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5307F2F5"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8) </w:t>
            </w:r>
            <w:r w:rsidRPr="001941B0">
              <w:rPr>
                <w:rFonts w:eastAsiaTheme="minorEastAsia"/>
                <w:b/>
                <w:sz w:val="20"/>
                <w:szCs w:val="20"/>
                <w:u w:val="single"/>
              </w:rPr>
              <w:t>w art. 28:</w:t>
            </w:r>
            <w:r w:rsidRPr="001941B0">
              <w:rPr>
                <w:rFonts w:eastAsiaTheme="minorEastAsia"/>
                <w:b/>
                <w:sz w:val="20"/>
                <w:szCs w:val="20"/>
              </w:rPr>
              <w:t xml:space="preserve"> </w:t>
            </w:r>
          </w:p>
          <w:p w14:paraId="76F3A56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a) ust. 1 otrzymuje następujące brzmienie</w:t>
            </w:r>
            <w:r w:rsidRPr="001941B0">
              <w:rPr>
                <w:rFonts w:eastAsiaTheme="minorEastAsia"/>
                <w:b/>
                <w:sz w:val="20"/>
                <w:szCs w:val="20"/>
                <w:u w:val="single"/>
              </w:rPr>
              <w:t>:</w:t>
            </w:r>
            <w:r w:rsidRPr="001941B0">
              <w:rPr>
                <w:rFonts w:eastAsiaTheme="minorEastAsia"/>
                <w:b/>
                <w:sz w:val="20"/>
                <w:szCs w:val="20"/>
              </w:rPr>
              <w:t xml:space="preserve"> </w:t>
            </w:r>
          </w:p>
          <w:p w14:paraId="315DEEE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„1. System Monitorowania Kosztów Leczenia jest systemem teleinformatycznym, którego zadaniem jest przetwarzanie w szczególności następujących danych:  </w:t>
            </w:r>
          </w:p>
          <w:p w14:paraId="3CCB9DF7" w14:textId="77777777" w:rsidR="0063705A" w:rsidRPr="001941B0" w:rsidRDefault="0063705A" w:rsidP="006E0CB2">
            <w:pPr>
              <w:numPr>
                <w:ilvl w:val="0"/>
                <w:numId w:val="22"/>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danych, o których mowa w art. 31lc ust. 2 ustawy z dnia 27 sierpnia 2004 r.   o świadczeniach opieki zdrowotnej finansowanych ze środków publicznych, </w:t>
            </w:r>
          </w:p>
          <w:p w14:paraId="6A77E3DF" w14:textId="77777777" w:rsidR="0063705A" w:rsidRPr="001941B0" w:rsidRDefault="0063705A" w:rsidP="006E0CB2">
            <w:pPr>
              <w:numPr>
                <w:ilvl w:val="0"/>
                <w:numId w:val="22"/>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ekspertów zaangażowanych w prace nad oceną technologii medycznych oraz świadczeń gwarantowanych, wyceną świadczeń opieki zdrowotnej lub realizacją innych zadań ustawowych Agencji, obejmujących: </w:t>
            </w:r>
          </w:p>
          <w:p w14:paraId="146DC55F"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imię i nazwisko,  </w:t>
            </w:r>
          </w:p>
          <w:p w14:paraId="52397B71"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do korespondencji,    </w:t>
            </w:r>
          </w:p>
          <w:p w14:paraId="02418528"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e-mail,  </w:t>
            </w:r>
          </w:p>
          <w:p w14:paraId="269E009C"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telefonu,  </w:t>
            </w:r>
          </w:p>
          <w:p w14:paraId="168A398B"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PESEL,  </w:t>
            </w:r>
          </w:p>
          <w:p w14:paraId="4FCE3DF2"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tytuł zawodowy lub naukowy,   </w:t>
            </w:r>
          </w:p>
          <w:p w14:paraId="362B4C73"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specjalizację, jeżeli dotyczy, </w:t>
            </w:r>
          </w:p>
          <w:p w14:paraId="3620A1F5"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nazwę jednostki zatrudniającej, jeżeli dotyczy,  </w:t>
            </w:r>
          </w:p>
          <w:p w14:paraId="47EF9634" w14:textId="77777777" w:rsidR="0063705A" w:rsidRPr="001941B0" w:rsidRDefault="0063705A" w:rsidP="006E0CB2">
            <w:pPr>
              <w:numPr>
                <w:ilvl w:val="0"/>
                <w:numId w:val="2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pełnioną funkcję, jeżeli dotyczy, </w:t>
            </w:r>
          </w:p>
          <w:p w14:paraId="1CF2071A" w14:textId="6AEA20B6" w:rsidR="0063705A" w:rsidRPr="001941B0" w:rsidRDefault="0063705A" w:rsidP="006E0CB2">
            <w:pPr>
              <w:numPr>
                <w:ilvl w:val="0"/>
                <w:numId w:val="22"/>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świadczeniodawców obejmujących: </w:t>
            </w:r>
          </w:p>
          <w:p w14:paraId="0C0734C9"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nazwę świadczeniodawcy,  </w:t>
            </w:r>
          </w:p>
          <w:p w14:paraId="0B80A950"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nazwę skróconą świadczeniodawcy,  </w:t>
            </w:r>
          </w:p>
          <w:p w14:paraId="61EC0E91"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NIP,   </w:t>
            </w:r>
          </w:p>
          <w:p w14:paraId="37F7CCD5"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REGON,   </w:t>
            </w:r>
          </w:p>
          <w:p w14:paraId="3879E065"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lastRenderedPageBreak/>
              <w:t xml:space="preserve">identyfikator usługodawcy, o którym mowa w art. 17c ust. 3 ustawy o systemie informacji w ochronie zdrowia, </w:t>
            </w:r>
          </w:p>
          <w:p w14:paraId="36A25470"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nr KRS, jeżeli dotyczy, </w:t>
            </w:r>
          </w:p>
          <w:p w14:paraId="0C8E2D0C"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kod świadczeniodawcy NFZ,  </w:t>
            </w:r>
          </w:p>
          <w:p w14:paraId="4562EF77"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kod oddziału NFZ,  </w:t>
            </w:r>
          </w:p>
          <w:p w14:paraId="7F89745B"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świadczeniodawcy,   </w:t>
            </w:r>
          </w:p>
          <w:p w14:paraId="5741B5E0"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korespondencyjny świadczeniodawcy,  </w:t>
            </w:r>
          </w:p>
          <w:p w14:paraId="0EEB4518"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telefonu,  </w:t>
            </w:r>
          </w:p>
          <w:p w14:paraId="72C660B7" w14:textId="77777777" w:rsidR="0063705A" w:rsidRPr="001941B0" w:rsidRDefault="0063705A" w:rsidP="006E0CB2">
            <w:pPr>
              <w:numPr>
                <w:ilvl w:val="1"/>
                <w:numId w:val="23"/>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e-mail, </w:t>
            </w:r>
          </w:p>
          <w:p w14:paraId="3F7932C2" w14:textId="1E9644F0" w:rsidR="0063705A" w:rsidRPr="001941B0" w:rsidRDefault="0063705A" w:rsidP="006E0CB2">
            <w:pPr>
              <w:numPr>
                <w:ilvl w:val="0"/>
                <w:numId w:val="22"/>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pracowników świadczeniodawcy obejmujących: </w:t>
            </w:r>
          </w:p>
          <w:p w14:paraId="279D1412" w14:textId="77777777" w:rsidR="0063705A" w:rsidRPr="001941B0" w:rsidRDefault="0063705A" w:rsidP="006E0CB2">
            <w:pPr>
              <w:numPr>
                <w:ilvl w:val="0"/>
                <w:numId w:val="27"/>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imię i nazwisko,  </w:t>
            </w:r>
          </w:p>
          <w:p w14:paraId="5017B6FA" w14:textId="77777777" w:rsidR="0063705A" w:rsidRPr="001941B0" w:rsidRDefault="0063705A" w:rsidP="006E0CB2">
            <w:pPr>
              <w:numPr>
                <w:ilvl w:val="0"/>
                <w:numId w:val="27"/>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e-mail,  </w:t>
            </w:r>
          </w:p>
          <w:p w14:paraId="335CA8C8" w14:textId="77777777" w:rsidR="0063705A" w:rsidRPr="001941B0" w:rsidRDefault="0063705A" w:rsidP="006E0CB2">
            <w:pPr>
              <w:numPr>
                <w:ilvl w:val="0"/>
                <w:numId w:val="27"/>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PESEL. </w:t>
            </w:r>
          </w:p>
          <w:p w14:paraId="38D376C1" w14:textId="6033840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w związku z realizacją zadań Agencji Oceny Technologii Medycznych i Taryfikacji określonych w art. 31n ustawy z dnia 27 sierpnia 2004 r. o świadczeniach opieki zdrowotnej finansowanych ze środków publicznych oraz w celu dokonywania analiz na rzecz systemu ochrony zdrowia.”; </w:t>
            </w:r>
          </w:p>
          <w:p w14:paraId="6F54E0C1"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Uzasadnienie</w:t>
            </w:r>
            <w:r w:rsidRPr="001941B0">
              <w:rPr>
                <w:rFonts w:eastAsiaTheme="minorEastAsia"/>
                <w:sz w:val="20"/>
                <w:szCs w:val="20"/>
              </w:rPr>
              <w:t xml:space="preserve"> </w:t>
            </w:r>
          </w:p>
          <w:p w14:paraId="63F28185"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Zgodnie z art. 28 ust. 1 ustawy z dnia 28 kwietnia 2011 r. o systemie informacji w ochronie zdrowia (Dz.U. z 2023 r. poz. 2465 z późn. zm.) System Monitorowania Kosztów Leczenia jest systemem teleinformatycznym, którego zadaniem jest przetwarzanie danych,  o których mowa w art. 31lc ust. 2 ustawy z dnia 27 sierpnia 2004 r. o świadczeniach opieki zdrowotnej finansowanych ze środków publicznych, niezbędnych Agencji Oceny Technologii Medycznych i Taryfikacji m.in. do określenia taryf świadczeń opieki zdrowotnej.  </w:t>
            </w:r>
          </w:p>
          <w:p w14:paraId="528B5BF7" w14:textId="505A71FD"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Według </w:t>
            </w:r>
            <w:r w:rsidRPr="001941B0">
              <w:rPr>
                <w:rFonts w:eastAsiaTheme="minorEastAsia"/>
                <w:sz w:val="20"/>
                <w:szCs w:val="20"/>
              </w:rPr>
              <w:tab/>
              <w:t xml:space="preserve">podpisanej umowy pomiędzy Agencją Oceny Technologii Medycznych i Taryfikacji (AOTMiT) a Centrum Projektów Polska Cyfrowa, nr umowy POPC.02.01.00-00-0110/19-00 o dofinansowanie projektu pod nazwą „System Monitorowania Kosztów Leczenia” w ramach Programu </w:t>
            </w:r>
            <w:r w:rsidRPr="001941B0">
              <w:rPr>
                <w:rFonts w:eastAsiaTheme="minorEastAsia"/>
                <w:sz w:val="20"/>
                <w:szCs w:val="20"/>
              </w:rPr>
              <w:lastRenderedPageBreak/>
              <w:t xml:space="preserve">Operacyjnego Polska Cyfrowa na lata 2014-2020 Oś Priorytetowa nr 2 „E-administracja i otwarty rząd” Działanie nr 2.1 „Wysoka dostępność i jakość e-usług publicznych”, AOTMiT zobowiązana jest do realizacji trzech e-usług: e-kwalifikacja świadczeniodawców, e- gromadzenie i weryfikacja danych oraz e-obsługa ekspercka.  </w:t>
            </w:r>
          </w:p>
          <w:p w14:paraId="6A67A5D0" w14:textId="39014C6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Celem projektu było wytworzenie systemu teleinformatycznego pod nazwą „System Monitorowania Kosztów Leczenia”, który umożliwi jak największą automatyzację procesów związanych z przygotowaniem, przekazaniem i analizą danych niezbędnych do określenia taryfy świadczeń oraz realizacji innych zadań Agencji  określonych w art. 31n ustawy z dnia 27 sierpnia 2004 r. o świadczeniach opieki zdrowotnej finansowanych ze środków publicznych. Określanie taryf świadczeń jest jednym z zadań ustawowych Agencji. W celu realizacji tego zadania gromadzone oraz przetwarzane są dane przekazywane przez podmioty udzielające świadczeń gwarantowanych finansowanych ze środków publicznych jak również inne podmioty wskazane w ustawie o świadczeniach (przede wszystkim Ministerstwo Zdrowia i Narodowy Fundusz Zdrowia). Proces ten jest niezwykle złożony, składa się z wielu etapów: wyboru wycenianego obszaru i usługodawców usług medycznych przekazujących dane, przygotowania dokumentacji  i wystąpienia do podmiotów z wnioskiem o przekazanie danych, weryfikacji uzyskanych danych, ich analizy, konsultacji z ekspertami, oszacowania kosztów i ustalenia taryfy. </w:t>
            </w:r>
          </w:p>
          <w:p w14:paraId="25511B1E"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celu zautomatyzowania i optymalizacji tych procesów zarówno po stronie usługodawcy usług medycznych jak i Agencji, wdrożono e-Usługi, ściśle ze sobą powiązane, wpływające bezpośrednio na proces taryfikacji i mających na celu przyniesienie korzyści po obu stronach, głównie w postaci zmniejszenia zaangażowania zasobów ludzkich, możliwości elektronicznego załatwienia spraw, automatycznej weryfikacji danych i swobodnej komunikacji pomiędzy Agencją i usługodawcami usług medycznych.  </w:t>
            </w:r>
          </w:p>
          <w:p w14:paraId="338A1FB9" w14:textId="133B59F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W ramach użytkowników zaangażowanych w wytwarzanie, gromadzenie, archiwizowanie, uaktualnianie oraz publikowanie informacji można wyodrębnić następujące podgrupy: </w:t>
            </w:r>
          </w:p>
          <w:p w14:paraId="54EFBD2B" w14:textId="77777777" w:rsidR="0063705A" w:rsidRPr="001941B0" w:rsidRDefault="0063705A" w:rsidP="006E0CB2">
            <w:pPr>
              <w:numPr>
                <w:ilvl w:val="0"/>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Usługodawcy usług medycznych udzielający świadczeń medycznych finansowanych ze środków publicznych: </w:t>
            </w:r>
          </w:p>
          <w:p w14:paraId="0C3906F9" w14:textId="77777777" w:rsidR="0063705A" w:rsidRPr="001941B0" w:rsidRDefault="0063705A" w:rsidP="006E0CB2">
            <w:pPr>
              <w:numPr>
                <w:ilvl w:val="1"/>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Podmioty lecznicze </w:t>
            </w:r>
          </w:p>
          <w:p w14:paraId="02CD2499" w14:textId="77777777" w:rsidR="0063705A" w:rsidRPr="001941B0" w:rsidRDefault="0063705A" w:rsidP="006E0CB2">
            <w:pPr>
              <w:numPr>
                <w:ilvl w:val="1"/>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Praktyki lekarskie indywidualne </w:t>
            </w:r>
          </w:p>
          <w:p w14:paraId="1301C685" w14:textId="77777777" w:rsidR="0063705A" w:rsidRPr="001941B0" w:rsidRDefault="0063705A" w:rsidP="006E0CB2">
            <w:pPr>
              <w:numPr>
                <w:ilvl w:val="1"/>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Praktyki pielęgniarek indywidualne </w:t>
            </w:r>
          </w:p>
          <w:p w14:paraId="462993FE" w14:textId="77777777" w:rsidR="0063705A" w:rsidRPr="001941B0" w:rsidRDefault="0063705A" w:rsidP="006E0CB2">
            <w:pPr>
              <w:numPr>
                <w:ilvl w:val="1"/>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Praktyki lekarskie grupowe </w:t>
            </w:r>
          </w:p>
          <w:p w14:paraId="441F402E" w14:textId="77777777" w:rsidR="0063705A" w:rsidRPr="001941B0" w:rsidRDefault="0063705A" w:rsidP="006E0CB2">
            <w:pPr>
              <w:numPr>
                <w:ilvl w:val="1"/>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Praktyki pielęgniarek grupowe </w:t>
            </w:r>
          </w:p>
          <w:p w14:paraId="7DEDF46E" w14:textId="77777777" w:rsidR="0063705A" w:rsidRPr="001941B0" w:rsidRDefault="0063705A" w:rsidP="006E0CB2">
            <w:pPr>
              <w:numPr>
                <w:ilvl w:val="1"/>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Inne podmioty lub praktyki, </w:t>
            </w:r>
          </w:p>
          <w:p w14:paraId="2CC72A5B" w14:textId="77777777" w:rsidR="0063705A" w:rsidRPr="001941B0" w:rsidRDefault="0063705A" w:rsidP="006E0CB2">
            <w:pPr>
              <w:numPr>
                <w:ilvl w:val="0"/>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Eksperci kliniczni zaangażowani w prace nad oceną technologii medycznych oraz świadczeń gwarantowanych, a także wyceną świadczeń opieki zdrowotnej. </w:t>
            </w:r>
          </w:p>
          <w:p w14:paraId="6FB0AB6A" w14:textId="77777777" w:rsidR="0063705A" w:rsidRPr="001941B0" w:rsidRDefault="0063705A" w:rsidP="006E0CB2">
            <w:pPr>
              <w:numPr>
                <w:ilvl w:val="0"/>
                <w:numId w:val="25"/>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Pracownicy Agencji zaangażowani m.in. w procesy taryfikacji, oceny technologii medycznych, świadczeń gwarantowanych oraz obsługi ekspertów. </w:t>
            </w:r>
          </w:p>
          <w:p w14:paraId="67ACF0D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ramach funkcjonowania systemu udostępnione zostaną e-usługi, w tym między innymi: kwalifikacja świadczeniodawców, gromadzenie i weryfikacja danych, szkolenia oraz obsługa ekspercka. Udostępnienie e-usług jest optymalnym wsparciem na każdym etapie procesu taryfikacji, począwszy od przygotowania procesu, poprzez generowanie wezwań do udostępnienia danych oraz dokumentów poświadczających współpracę, pozyskanie i weryfikację otrzymanych danych, skończywszy na pracach analitycznych, monitorowaniu przekazywanych danych, a także końcowym określeniu projektu taryfy świadczeń.  </w:t>
            </w:r>
          </w:p>
          <w:p w14:paraId="70A0B209" w14:textId="1BF595BD"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Uwzględniając powyższe elementy niezbędnym jest przetwarzanie wskazanych powyżej danych w Systemie Monitorowania Kosztów Leczenia, tak aby sprawnie przeprowadzać procesy taryfikacji oraz realizować inne zadania ustawowe Agencji określone w art. 31n ustawy o </w:t>
            </w:r>
            <w:r w:rsidRPr="001941B0">
              <w:rPr>
                <w:rFonts w:eastAsiaTheme="minorEastAsia"/>
                <w:sz w:val="20"/>
                <w:szCs w:val="20"/>
              </w:rPr>
              <w:lastRenderedPageBreak/>
              <w:t xml:space="preserve">świadczeniach oraz w celu dokonywania analiz na rzecz systemu ochrony zdrowia. </w:t>
            </w:r>
          </w:p>
          <w:p w14:paraId="6D60CA76"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b) ust. 2 otrzymuje następujące brzmienie</w:t>
            </w:r>
            <w:r w:rsidRPr="001941B0">
              <w:rPr>
                <w:rFonts w:eastAsiaTheme="minorEastAsia"/>
                <w:b/>
                <w:i/>
                <w:sz w:val="20"/>
                <w:szCs w:val="20"/>
                <w:u w:val="single"/>
              </w:rPr>
              <w:t>:</w:t>
            </w:r>
            <w:r w:rsidRPr="001941B0">
              <w:rPr>
                <w:rFonts w:eastAsiaTheme="minorEastAsia"/>
                <w:b/>
                <w:i/>
                <w:sz w:val="20"/>
                <w:szCs w:val="20"/>
              </w:rPr>
              <w:t xml:space="preserve"> </w:t>
            </w:r>
          </w:p>
          <w:p w14:paraId="0D69E738"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„2. Administratorem danych przetwarzanych w Systemie Monitorowania Kosztów Leczenia jest Prezes Agencji Oceny Technologii Medycznych i Taryfikacji.” </w:t>
            </w:r>
          </w:p>
          <w:p w14:paraId="26D98278"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Uzasadnienie</w:t>
            </w:r>
            <w:r w:rsidRPr="001941B0">
              <w:rPr>
                <w:rFonts w:eastAsiaTheme="minorEastAsia"/>
                <w:sz w:val="20"/>
                <w:szCs w:val="20"/>
              </w:rPr>
              <w:t xml:space="preserve"> </w:t>
            </w:r>
          </w:p>
          <w:p w14:paraId="17E47E39"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Uzasadnieniem do zmiany administratora danych przetwarzanych w Systemie Monitorowania Kosztów Leczenia jest Prezes Agencji Oceny Technologii Medycznych i Taryfikacji jest fakt, że system został wytworzony przez Agencję, a nie jak wcześniej zamierzano przez Centrum e-Zdrowia, i system ten jest zainstalowany na serwerach Agencji. W związku z tym, wydaje się, że Administratorem tych danych powinien być Prezes Agencji a nie Minister Zdrowia. </w:t>
            </w:r>
          </w:p>
          <w:p w14:paraId="0D9A85B1"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c) dodaje się ust. 4 – 6 w następującym brzmieniu: </w:t>
            </w:r>
          </w:p>
          <w:p w14:paraId="499BA7EF"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„4. Uwierzytelnienie użytkownika systemu teleinformatycznego System Monitorowania Kosztów Leczenia, wymaga użycia środka identyfikacji elektronicznej wydanego   w systemie identyfikacji elektronicznej przyłączonym do węzła krajowego identyfikacji elektronicznej, o którym mowa w art. 21a ust. 1 pkt 2 lit. a ustawy z dnia 5 września 2016 r. o usługach zaufania oraz identyfikacji elektronicznej (Dz. U. z 2024 r. poz. 422 i 1222). </w:t>
            </w:r>
          </w:p>
          <w:p w14:paraId="73864F5E" w14:textId="245FCEA8" w:rsidR="0063705A" w:rsidRPr="001941B0" w:rsidRDefault="0063705A" w:rsidP="006E0CB2">
            <w:pPr>
              <w:autoSpaceDE w:val="0"/>
              <w:autoSpaceDN w:val="0"/>
              <w:adjustRightInd w:val="0"/>
              <w:spacing w:after="0" w:line="240" w:lineRule="auto"/>
              <w:ind w:left="10"/>
              <w:rPr>
                <w:rFonts w:eastAsiaTheme="minorEastAsia"/>
                <w:sz w:val="20"/>
                <w:szCs w:val="20"/>
              </w:rPr>
            </w:pPr>
            <w:r w:rsidRPr="001941B0">
              <w:rPr>
                <w:rFonts w:eastAsiaTheme="minorEastAsia"/>
                <w:i/>
                <w:sz w:val="20"/>
                <w:szCs w:val="20"/>
              </w:rPr>
              <w:t xml:space="preserve">5. Uwierzytelnianie z wykorzystaniem środków identyfikacji elektronicznej, o których mowa w ust. 4, zapewnia się adekwatnie do wymaganego poziomu bezpieczeństwa,  o którym mowa w  ustawy z dnia 5 września 2016 r. o usługach zaufania oraz identyfikacji elektronicznej. </w:t>
            </w:r>
          </w:p>
          <w:p w14:paraId="029FB74C" w14:textId="14826C2F" w:rsidR="0063705A" w:rsidRPr="001941B0" w:rsidRDefault="0063705A" w:rsidP="006E0CB2">
            <w:pPr>
              <w:autoSpaceDE w:val="0"/>
              <w:autoSpaceDN w:val="0"/>
              <w:adjustRightInd w:val="0"/>
              <w:spacing w:after="0" w:line="240" w:lineRule="auto"/>
              <w:ind w:left="10"/>
              <w:rPr>
                <w:rFonts w:eastAsiaTheme="minorEastAsia"/>
                <w:sz w:val="20"/>
                <w:szCs w:val="20"/>
              </w:rPr>
            </w:pPr>
            <w:r w:rsidRPr="001941B0">
              <w:rPr>
                <w:rFonts w:eastAsiaTheme="minorEastAsia"/>
                <w:i/>
                <w:sz w:val="20"/>
                <w:szCs w:val="20"/>
              </w:rPr>
              <w:t xml:space="preserve">6. Agencja Oceny Technologii Medycznych i Taryfikacji, która używa do realizacji zadań publicznych Systemu Monitowania Kosztów Leczenia, może umożliwiać użytkownikowi uwierzytelnienie w tym systemie także przez zastosowanie innych technologii.” </w:t>
            </w:r>
          </w:p>
          <w:p w14:paraId="08D326A3" w14:textId="77777777"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Uzasadnienie</w:t>
            </w:r>
            <w:r w:rsidRPr="001941B0">
              <w:rPr>
                <w:rFonts w:eastAsiaTheme="minorEastAsia"/>
                <w:sz w:val="20"/>
                <w:szCs w:val="20"/>
              </w:rPr>
              <w:t xml:space="preserve"> </w:t>
            </w:r>
          </w:p>
          <w:p w14:paraId="71BF8ABA" w14:textId="52252C5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Zasadne jest dodanie  w art. 28 ustawie z dnia 28 kwietnia 2011 r. o systemie informacji  w ochronie zdrowia (Dz. U. z </w:t>
            </w:r>
            <w:r w:rsidRPr="001941B0">
              <w:rPr>
                <w:rFonts w:eastAsiaTheme="minorEastAsia"/>
                <w:sz w:val="20"/>
                <w:szCs w:val="20"/>
              </w:rPr>
              <w:lastRenderedPageBreak/>
              <w:t>2023 r. poz. 2465)  przepisów określających sposób uwierzytelniania użytkowników Sytemu Monitorowania Kosztów  Leczenia.</w:t>
            </w:r>
          </w:p>
        </w:tc>
        <w:tc>
          <w:tcPr>
            <w:tcW w:w="2855" w:type="dxa"/>
            <w:shd w:val="clear" w:color="auto" w:fill="FFFFFF" w:themeFill="background1"/>
          </w:tcPr>
          <w:p w14:paraId="0A90D387" w14:textId="5A1B3CD4" w:rsidR="00162CBB" w:rsidRPr="001941B0" w:rsidRDefault="00162CBB"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710F85DB" w14:textId="01E49755" w:rsidR="00162CBB" w:rsidRPr="001941B0" w:rsidRDefault="00162C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2A893981" w14:textId="76A8B2B6" w:rsidR="4E799236" w:rsidRPr="001941B0" w:rsidRDefault="4E799236" w:rsidP="4E799236">
            <w:pPr>
              <w:spacing w:after="0" w:line="240" w:lineRule="auto"/>
              <w:rPr>
                <w:rFonts w:eastAsiaTheme="minorEastAsia"/>
                <w:sz w:val="20"/>
                <w:szCs w:val="20"/>
              </w:rPr>
            </w:pPr>
          </w:p>
          <w:p w14:paraId="5C39FC00" w14:textId="4F0F7A81" w:rsidR="0063705A" w:rsidRPr="001941B0" w:rsidRDefault="0063705A" w:rsidP="0044265C">
            <w:pPr>
              <w:spacing w:after="0" w:line="240" w:lineRule="auto"/>
              <w:rPr>
                <w:rFonts w:eastAsiaTheme="minorEastAsia"/>
                <w:sz w:val="20"/>
                <w:szCs w:val="20"/>
              </w:rPr>
            </w:pPr>
          </w:p>
        </w:tc>
      </w:tr>
      <w:tr w:rsidR="00FC7212" w:rsidRPr="001941B0" w14:paraId="7EE38D81" w14:textId="77777777" w:rsidTr="7139DBB9">
        <w:tc>
          <w:tcPr>
            <w:tcW w:w="1125" w:type="dxa"/>
            <w:shd w:val="clear" w:color="auto" w:fill="FFFFFF" w:themeFill="background1"/>
          </w:tcPr>
          <w:p w14:paraId="4E2EE750"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86CC964" w14:textId="7798BAF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0076FFA9" w14:textId="4B9E672C"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32EE044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Ponadto Agencja ponawia uwagi zgłaszane do Ministerstwa Zdrowia  w roku 2025 w zakresie</w:t>
            </w:r>
            <w:r w:rsidRPr="001941B0">
              <w:rPr>
                <w:rFonts w:eastAsiaTheme="minorEastAsia"/>
                <w:sz w:val="20"/>
                <w:szCs w:val="20"/>
              </w:rPr>
              <w:t xml:space="preserve"> </w:t>
            </w:r>
            <w:r w:rsidRPr="001941B0">
              <w:rPr>
                <w:rFonts w:eastAsiaTheme="minorEastAsia"/>
                <w:sz w:val="20"/>
                <w:szCs w:val="20"/>
                <w:u w:val="single"/>
              </w:rPr>
              <w:t>zapewnienia naszej instytucji  dostępu do rożnego rodzaju zasobów danych.</w:t>
            </w:r>
            <w:r w:rsidRPr="001941B0">
              <w:rPr>
                <w:rFonts w:eastAsiaTheme="minorEastAsia"/>
                <w:sz w:val="20"/>
                <w:szCs w:val="20"/>
              </w:rPr>
              <w:t xml:space="preserve"> </w:t>
            </w:r>
          </w:p>
          <w:p w14:paraId="702647D8"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W ustawie z dnia 28 kwietnia 2011 r. o systemie informacji w ochronie zdrowia (Dz. U. z 2025 r. poz. 302, 779, 1537 i 1705)</w:t>
            </w:r>
            <w:r w:rsidRPr="001941B0">
              <w:rPr>
                <w:rFonts w:eastAsiaTheme="minorEastAsia"/>
                <w:b/>
                <w:sz w:val="20"/>
                <w:szCs w:val="20"/>
                <w:u w:val="single"/>
              </w:rPr>
              <w:t xml:space="preserve"> </w:t>
            </w:r>
            <w:r w:rsidRPr="001941B0">
              <w:rPr>
                <w:rFonts w:eastAsiaTheme="minorEastAsia"/>
                <w:b/>
                <w:sz w:val="20"/>
                <w:szCs w:val="20"/>
              </w:rPr>
              <w:t xml:space="preserve">wprowadza się następujące zmiany: </w:t>
            </w:r>
          </w:p>
          <w:p w14:paraId="66C9A657"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9) </w:t>
            </w:r>
            <w:r w:rsidRPr="001941B0">
              <w:rPr>
                <w:rFonts w:eastAsiaTheme="minorEastAsia"/>
                <w:b/>
                <w:sz w:val="20"/>
                <w:szCs w:val="20"/>
                <w:u w:val="single"/>
              </w:rPr>
              <w:t xml:space="preserve">w art. 29: </w:t>
            </w:r>
            <w:r w:rsidRPr="001941B0">
              <w:rPr>
                <w:rFonts w:eastAsiaTheme="minorEastAsia"/>
                <w:b/>
                <w:sz w:val="20"/>
                <w:szCs w:val="20"/>
              </w:rPr>
              <w:t xml:space="preserve"> </w:t>
            </w:r>
          </w:p>
          <w:p w14:paraId="3A468682" w14:textId="284D00F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a) po ust. 5 dodaje się ust. 5a w następującym brzmieniu: </w:t>
            </w:r>
          </w:p>
          <w:p w14:paraId="5159E4B8"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„5a. Główny Inspektor Farmaceutyczny albo jednostka, o której mowa w ust. 7, za zgodą Głównego Inspektora Farmaceutycznego, udostępniają dane przetwarzane w Zintegrowanym Systemie Monitorowania Obrotu Produktami Leczniczymi, Narodowemu Funduszowi Zdrowia oraz Agencji Oceny Technologii Medycznych i Taryfikacji w zakresie, w jakim wymaga tego realizacja zadań ustawowych przez te podmioty.”;  </w:t>
            </w:r>
          </w:p>
          <w:p w14:paraId="538F56AF" w14:textId="481845DC"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b) proponuje się dodanie ust. 9 w brzmieniu:  </w:t>
            </w:r>
          </w:p>
          <w:p w14:paraId="5CA212B8"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9. Administrator systemu, o którym mowa w ust. 7 uzgadnia z Agencją sposób, format i częstotliwość udostępniania danych, o których mowa w ust. 2.”  </w:t>
            </w:r>
          </w:p>
          <w:p w14:paraId="4E2B3269" w14:textId="65836EAC" w:rsidR="0063705A" w:rsidRPr="001941B0" w:rsidRDefault="0063705A"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 xml:space="preserve">Uzasadnienie </w:t>
            </w:r>
            <w:r w:rsidRPr="001941B0">
              <w:rPr>
                <w:rFonts w:eastAsiaTheme="minorEastAsia"/>
                <w:sz w:val="20"/>
                <w:szCs w:val="20"/>
              </w:rPr>
              <w:t xml:space="preserve"> </w:t>
            </w:r>
          </w:p>
          <w:p w14:paraId="7D5DA958" w14:textId="6E1C276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Zasadne jest przyznanie Agencji dostępu do danych zawartych w Zintegrowanym Systemie Monitorowania Obrotu Produktami Leczniczymi w celu realizacji zadań ustawowych. Dane z Zintegrowanego System Monitorowania Obrotu Produktami Leczniczymi (ZSMOPL) są konieczne Agencji do realizacji zadań Agencji, o których mowa w art. 31n ustawy o świadczeniach, m.in. przygotowania rekomendacji w sprawie wydania zgody na refundację leków, środków spożywczych specjalnego żywienia pozajelitowego, sprowadzanych w ramach importu docelowego, innych zadań zleconych przez Ministra Zdrowia, badań naukowych i analiz.  </w:t>
            </w:r>
          </w:p>
          <w:p w14:paraId="703AB375" w14:textId="0D3690D4"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Dane z Zintegrowanego System Monitorowania Obrotu Produktami Leczniczymi (ZSMOPL) są również niezbędne </w:t>
            </w:r>
            <w:r w:rsidRPr="001941B0">
              <w:rPr>
                <w:rFonts w:eastAsiaTheme="minorEastAsia"/>
                <w:sz w:val="20"/>
                <w:szCs w:val="20"/>
              </w:rPr>
              <w:lastRenderedPageBreak/>
              <w:t xml:space="preserve">Agencji w celu uzyskania rezultatów Projektów pn. Rozwój Zasobów Analitycznych (RZA) i pn. </w:t>
            </w:r>
            <w:r w:rsidRPr="001941B0">
              <w:rPr>
                <w:rFonts w:eastAsiaTheme="minorEastAsia"/>
                <w:b/>
                <w:sz w:val="20"/>
                <w:szCs w:val="20"/>
              </w:rPr>
              <w:t xml:space="preserve"> </w:t>
            </w:r>
            <w:r w:rsidRPr="001941B0">
              <w:rPr>
                <w:rFonts w:eastAsiaTheme="minorEastAsia"/>
                <w:sz w:val="20"/>
                <w:szCs w:val="20"/>
              </w:rPr>
              <w:t>Projektowanie Zmian Systemu Opieki Zdrowotnej (PZSOZ) realizowanego w Agencji w ramach Programu Badawczo-Rozwojowego.</w:t>
            </w:r>
          </w:p>
        </w:tc>
        <w:tc>
          <w:tcPr>
            <w:tcW w:w="2855" w:type="dxa"/>
            <w:shd w:val="clear" w:color="auto" w:fill="FFFFFF" w:themeFill="background1"/>
          </w:tcPr>
          <w:p w14:paraId="17E9F987" w14:textId="5CC07405" w:rsidR="00162CBB" w:rsidRPr="001941B0" w:rsidRDefault="00162CBB"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061669AB" w14:textId="230C9BED" w:rsidR="00162CBB" w:rsidRPr="001941B0" w:rsidRDefault="00162C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7329300E" w14:textId="04ED59A0" w:rsidR="4E799236" w:rsidRPr="001941B0" w:rsidRDefault="4E799236" w:rsidP="4E799236">
            <w:pPr>
              <w:spacing w:after="0" w:line="240" w:lineRule="auto"/>
              <w:rPr>
                <w:rFonts w:eastAsiaTheme="minorEastAsia"/>
                <w:sz w:val="20"/>
                <w:szCs w:val="20"/>
              </w:rPr>
            </w:pPr>
          </w:p>
          <w:p w14:paraId="17039122" w14:textId="3BC44B16" w:rsidR="0063705A" w:rsidRPr="001941B0" w:rsidRDefault="0063705A" w:rsidP="0044265C">
            <w:pPr>
              <w:spacing w:after="0" w:line="240" w:lineRule="auto"/>
              <w:rPr>
                <w:rFonts w:eastAsiaTheme="minorEastAsia"/>
                <w:sz w:val="20"/>
                <w:szCs w:val="20"/>
              </w:rPr>
            </w:pPr>
          </w:p>
        </w:tc>
      </w:tr>
      <w:tr w:rsidR="00FC7212" w:rsidRPr="001941B0" w14:paraId="79D3ACB6" w14:textId="77777777" w:rsidTr="7139DBB9">
        <w:tc>
          <w:tcPr>
            <w:tcW w:w="1125" w:type="dxa"/>
            <w:shd w:val="clear" w:color="auto" w:fill="FFFFFF" w:themeFill="background1"/>
          </w:tcPr>
          <w:p w14:paraId="04B5DB40"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FA8DAC6" w14:textId="16E8CD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1BDDC46F" w14:textId="4FBBE9F5"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1552A89D" w14:textId="77777777" w:rsidR="00C756C1" w:rsidRPr="001941B0" w:rsidRDefault="00C756C1"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W ustawie z dnia 27 sierpnia 2004 r. o świadczeniach opieki zdrowotnej finansowanych ze środków publicznych (Dz. U. z 2025 r., poz. 1461 z późn. zm.) wprowadza się następujące zmiany: </w:t>
            </w:r>
          </w:p>
          <w:p w14:paraId="342951A1" w14:textId="77777777" w:rsidR="00C756C1" w:rsidRPr="001941B0" w:rsidRDefault="00C756C1"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1) </w:t>
            </w:r>
            <w:r w:rsidRPr="001941B0">
              <w:rPr>
                <w:rFonts w:eastAsiaTheme="minorEastAsia"/>
                <w:b/>
                <w:sz w:val="20"/>
                <w:szCs w:val="20"/>
                <w:u w:val="single"/>
              </w:rPr>
              <w:t>w art. 31lc po ust. 2 dodaje się ust. 2a w następującym brzmieniu:</w:t>
            </w:r>
            <w:r w:rsidRPr="001941B0">
              <w:rPr>
                <w:rFonts w:eastAsiaTheme="minorEastAsia"/>
                <w:b/>
                <w:sz w:val="20"/>
                <w:szCs w:val="20"/>
              </w:rPr>
              <w:t xml:space="preserve"> </w:t>
            </w:r>
          </w:p>
          <w:p w14:paraId="18200102" w14:textId="6D3758E7" w:rsidR="00C756C1" w:rsidRPr="001941B0" w:rsidRDefault="00C756C1"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„2a. W celu realizacji zadań Agencji określonych w art. 31 n Agencja przetwarza również następujące dane:  </w:t>
            </w:r>
          </w:p>
          <w:p w14:paraId="1ED37542" w14:textId="4E86544E" w:rsidR="00C756C1" w:rsidRPr="001941B0" w:rsidRDefault="00C756C1"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1) pozyskane z Centralnego Wykazu Pracowników Medycznych, o którym mowa w art. 17 ustawy z dnia 28 kwietnia 2011 r. o systemie informacji w ochronie zdrowia.” </w:t>
            </w:r>
          </w:p>
          <w:p w14:paraId="69AEE59A" w14:textId="4BCB9BEB" w:rsidR="00C756C1" w:rsidRPr="001941B0" w:rsidRDefault="00C756C1"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Uzasadnienie</w:t>
            </w:r>
            <w:r w:rsidRPr="001941B0">
              <w:rPr>
                <w:rFonts w:eastAsiaTheme="minorEastAsia"/>
                <w:sz w:val="20"/>
                <w:szCs w:val="20"/>
              </w:rPr>
              <w:t xml:space="preserve"> </w:t>
            </w:r>
          </w:p>
          <w:p w14:paraId="45915F99" w14:textId="77777777" w:rsidR="00C756C1" w:rsidRPr="001941B0" w:rsidRDefault="00C756C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Centralny Wykaz Pracowników Medycznych (CWPM) gromadzi dane pozyskiwane z samorządów zawodowych różnych grup zawodów medycznych, w tym numer prawa wykonywania zawodu, status prawa wykonywania zawodu, posiadane specjalizacje oraz dla wybranych grup poziom wykształcenia. Dodatkowo procedowany projekt ustawy rozszerza zakres gromadzonych danych w CWPM o dane dot. zawieszenia prawa wykonywania zawodu, czasowego zaniechania wykonywania zawodu.  </w:t>
            </w:r>
          </w:p>
          <w:p w14:paraId="1B3A53E8" w14:textId="721D7547" w:rsidR="00C756C1" w:rsidRPr="001941B0" w:rsidRDefault="00C756C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CWPM może stanowić dla Agencji dodatkowe źródło informacji pozwalające na dodatkowe analizy w kierunku rozpoznania i oszacowania pełnych zasobów kadrowych pod różnym kątem w całym systemie opieki zdrowotnej, zarówno w ujęciu regionalnym jak i krajowym. Dane te obejmują osoby wykonujące dany zawód medyczny nie tylko w ramach systemu ubezpieczeń zdrowotnych ale również w sektorze prywatnym. Agencja przedmiotowe dane przetwarzałaby w celu realizacji zadań ustawowych Agencji, o których mowa w art. 31n ustawy o świadczeniach, w szczególności do weryfikacji możliwości spełniania przez świadczeniodawców </w:t>
            </w:r>
            <w:r w:rsidRPr="001941B0">
              <w:rPr>
                <w:rFonts w:eastAsiaTheme="minorEastAsia"/>
                <w:sz w:val="20"/>
                <w:szCs w:val="20"/>
              </w:rPr>
              <w:lastRenderedPageBreak/>
              <w:t xml:space="preserve">warunków realizacji gwarantowanych świadczeń opieki zdrowotnej.  </w:t>
            </w:r>
          </w:p>
          <w:p w14:paraId="25C59C62" w14:textId="673226F8" w:rsidR="0063705A" w:rsidRPr="001941B0" w:rsidRDefault="00C756C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Na potrzeby realizacji zadań ustawowych aktualnie Agencja gromadzi dane o pracownikach zatrudnionych w podmiotach leczniczych posiadających zawarte umowy z NFZ. Danych tych nie przekazują jednak wszyscy świadczeniodawcy (brak sankcji za nieprzekazanie danych), co utrudnia chociażby precyzyjne oszacowanie skutków dla NFZ, powodowanych corocznymi wzrostami wynagrodzeń, zgodnie z ustawą z dnia 26 maja 2022 r. o zmianie ustawy o sposobie ustalania najniższego wynagrodzenia zasadniczego niektórych pracowników zatrudnionych w podmiotach leczniczych oraz niektórych innych ustaw. Posiadanie informacji o wszystkich pracownikach umożliwi przeskalowanie uzyskiwanych wyników zgodnie ze stanem faktycznym. Pozwoli to na prowadzenie wiarygodnych analiz ekonomicznych, które stanowią podstawę dla decyzji finansowych wpływających na cały system opieki zdrowotnej</w:t>
            </w:r>
          </w:p>
        </w:tc>
        <w:tc>
          <w:tcPr>
            <w:tcW w:w="2855" w:type="dxa"/>
            <w:shd w:val="clear" w:color="auto" w:fill="FFFFFF" w:themeFill="background1"/>
          </w:tcPr>
          <w:p w14:paraId="1D809567" w14:textId="684E8FC1" w:rsidR="001B4F94" w:rsidRPr="001941B0" w:rsidRDefault="001B4F94"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1CF8DC41" w14:textId="77777777" w:rsidR="0063705A" w:rsidRPr="001941B0" w:rsidRDefault="001B4F9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6993B610" w14:textId="77777777" w:rsidR="00F45B25" w:rsidRPr="001941B0" w:rsidRDefault="00F45B25" w:rsidP="006E0CB2">
            <w:pPr>
              <w:autoSpaceDE w:val="0"/>
              <w:autoSpaceDN w:val="0"/>
              <w:adjustRightInd w:val="0"/>
              <w:spacing w:after="0" w:line="240" w:lineRule="auto"/>
              <w:rPr>
                <w:rFonts w:eastAsiaTheme="minorEastAsia"/>
                <w:sz w:val="20"/>
                <w:szCs w:val="20"/>
              </w:rPr>
            </w:pPr>
          </w:p>
          <w:p w14:paraId="290D2F13" w14:textId="6F4397EB" w:rsidR="0063705A" w:rsidRPr="001941B0" w:rsidRDefault="0063705A" w:rsidP="006E0CB2">
            <w:pPr>
              <w:autoSpaceDE w:val="0"/>
              <w:autoSpaceDN w:val="0"/>
              <w:adjustRightInd w:val="0"/>
              <w:spacing w:after="0" w:line="240" w:lineRule="auto"/>
              <w:rPr>
                <w:rFonts w:eastAsiaTheme="minorEastAsia"/>
                <w:sz w:val="20"/>
                <w:szCs w:val="20"/>
              </w:rPr>
            </w:pPr>
          </w:p>
        </w:tc>
      </w:tr>
      <w:tr w:rsidR="00FC7212" w:rsidRPr="001941B0" w14:paraId="30CF0436" w14:textId="77777777" w:rsidTr="7139DBB9">
        <w:tc>
          <w:tcPr>
            <w:tcW w:w="1125" w:type="dxa"/>
            <w:shd w:val="clear" w:color="auto" w:fill="FFFFFF" w:themeFill="background1"/>
          </w:tcPr>
          <w:p w14:paraId="4895C6E4"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4FBED93" w14:textId="770B2A2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FD5E496" w14:textId="45A1C4AD"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27CCAF10" w14:textId="77777777"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W ustawie z dnia 27 sierpnia 2004 r. o świadczeniach opieki zdrowotnej finansowanych ze środków publicznych (Dz. U. z 2025 r., poz. 1461 z późn. zm.) wprowadza się następujące zmiany: </w:t>
            </w:r>
          </w:p>
          <w:p w14:paraId="75B6FD2F" w14:textId="77777777" w:rsidR="00BB1996" w:rsidRPr="001941B0" w:rsidRDefault="00BB1996"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2) </w:t>
            </w:r>
            <w:r w:rsidRPr="001941B0">
              <w:rPr>
                <w:rFonts w:eastAsiaTheme="minorEastAsia"/>
                <w:b/>
                <w:sz w:val="20"/>
                <w:szCs w:val="20"/>
                <w:u w:val="single"/>
              </w:rPr>
              <w:t xml:space="preserve">proponuje się dodanie art. 31ld w brzmieniu: </w:t>
            </w:r>
            <w:r w:rsidRPr="001941B0">
              <w:rPr>
                <w:rFonts w:eastAsiaTheme="minorEastAsia"/>
                <w:b/>
                <w:sz w:val="20"/>
                <w:szCs w:val="20"/>
              </w:rPr>
              <w:t xml:space="preserve"> </w:t>
            </w:r>
          </w:p>
          <w:p w14:paraId="32A5430E" w14:textId="77777777" w:rsidR="00BB1996" w:rsidRPr="001941B0" w:rsidRDefault="00BB1996"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„Art.  31ld.   </w:t>
            </w:r>
            <w:r w:rsidRPr="001941B0">
              <w:rPr>
                <w:rFonts w:eastAsiaTheme="minorEastAsia"/>
                <w:sz w:val="20"/>
                <w:szCs w:val="20"/>
              </w:rPr>
              <w:t xml:space="preserve"> </w:t>
            </w:r>
          </w:p>
          <w:p w14:paraId="090A5159" w14:textId="33A710A3" w:rsidR="00BB1996" w:rsidRPr="001941B0" w:rsidRDefault="00BB1996" w:rsidP="006E0CB2">
            <w:pPr>
              <w:numPr>
                <w:ilvl w:val="0"/>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Agencja przetwarza dane osobowe osób ubiegających się o nadanie dostępu lub korzystających z aplikacji udostępnianych przez Agencję świadczeniodawcom oraz niebędącym świadczeniodawcami osobom uprawnionym i osobom przez nie upoważnionym, nie będących pracownikami Agencji w celu korzystania z usług informatycznych i komunikacji z Agencją. </w:t>
            </w:r>
            <w:r w:rsidRPr="001941B0">
              <w:rPr>
                <w:rFonts w:eastAsiaTheme="minorEastAsia"/>
                <w:sz w:val="20"/>
                <w:szCs w:val="20"/>
              </w:rPr>
              <w:t xml:space="preserve"> </w:t>
            </w:r>
          </w:p>
          <w:p w14:paraId="6BDF6DF7" w14:textId="77777777" w:rsidR="00BB1996" w:rsidRPr="001941B0" w:rsidRDefault="00BB1996" w:rsidP="006E0CB2">
            <w:pPr>
              <w:numPr>
                <w:ilvl w:val="0"/>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W celu nadawania dostępu i uprawnień Użytkownikom usług informatycznych udostępnianych przez Agencję i komunikacji z Agencją realizacji zadań, Agencja przetwarza następujące dane: </w:t>
            </w:r>
            <w:r w:rsidRPr="001941B0">
              <w:rPr>
                <w:rFonts w:eastAsiaTheme="minorEastAsia"/>
                <w:sz w:val="20"/>
                <w:szCs w:val="20"/>
              </w:rPr>
              <w:t xml:space="preserve"> </w:t>
            </w:r>
          </w:p>
          <w:p w14:paraId="758A8421" w14:textId="77777777" w:rsidR="00BB1996" w:rsidRPr="001941B0" w:rsidRDefault="00BB1996" w:rsidP="006E0CB2">
            <w:pPr>
              <w:numPr>
                <w:ilvl w:val="1"/>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nazwisko i imię (imiona);  </w:t>
            </w:r>
            <w:r w:rsidRPr="001941B0">
              <w:rPr>
                <w:rFonts w:eastAsiaTheme="minorEastAsia"/>
                <w:sz w:val="20"/>
                <w:szCs w:val="20"/>
              </w:rPr>
              <w:t xml:space="preserve"> </w:t>
            </w:r>
          </w:p>
          <w:p w14:paraId="5DFBD94D" w14:textId="77777777" w:rsidR="00BB1996" w:rsidRPr="001941B0" w:rsidRDefault="00BB1996" w:rsidP="006E0CB2">
            <w:pPr>
              <w:numPr>
                <w:ilvl w:val="1"/>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lastRenderedPageBreak/>
              <w:t xml:space="preserve">numer PESEL, a w przypadku jego braku – rodzaj, serię i numer dokumentu potwierdzającego tożsamość; </w:t>
            </w:r>
          </w:p>
          <w:p w14:paraId="21CC4DCB" w14:textId="77777777" w:rsidR="00BB1996" w:rsidRPr="001941B0" w:rsidRDefault="00BB1996" w:rsidP="006E0CB2">
            <w:pPr>
              <w:numPr>
                <w:ilvl w:val="1"/>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mail; </w:t>
            </w:r>
            <w:r w:rsidRPr="001941B0">
              <w:rPr>
                <w:rFonts w:eastAsiaTheme="minorEastAsia"/>
                <w:sz w:val="20"/>
                <w:szCs w:val="20"/>
              </w:rPr>
              <w:t xml:space="preserve"> </w:t>
            </w:r>
          </w:p>
          <w:p w14:paraId="35D13106" w14:textId="77777777" w:rsidR="00BB1996" w:rsidRPr="001941B0" w:rsidRDefault="00BB1996" w:rsidP="006E0CB2">
            <w:pPr>
              <w:numPr>
                <w:ilvl w:val="1"/>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telefonu umożliwiający kontakt z osobą, której dane Agencja przetwarza;  </w:t>
            </w:r>
            <w:r w:rsidRPr="001941B0">
              <w:rPr>
                <w:rFonts w:eastAsiaTheme="minorEastAsia"/>
                <w:sz w:val="20"/>
                <w:szCs w:val="20"/>
              </w:rPr>
              <w:t xml:space="preserve"> </w:t>
            </w:r>
          </w:p>
          <w:p w14:paraId="35528993" w14:textId="77777777" w:rsidR="00BB1996" w:rsidRPr="001941B0" w:rsidRDefault="00BB1996" w:rsidP="006E0CB2">
            <w:pPr>
              <w:numPr>
                <w:ilvl w:val="1"/>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prawa wykonywania zawodu oraz kwalifikacje zawodowe, jeżeli dotyczy; </w:t>
            </w:r>
            <w:r w:rsidRPr="001941B0">
              <w:rPr>
                <w:rFonts w:eastAsiaTheme="minorEastAsia"/>
                <w:sz w:val="20"/>
                <w:szCs w:val="20"/>
              </w:rPr>
              <w:t xml:space="preserve"> </w:t>
            </w:r>
          </w:p>
          <w:p w14:paraId="3A749070" w14:textId="2A19AB60" w:rsidR="00BB1996" w:rsidRPr="001941B0" w:rsidRDefault="00BB1996" w:rsidP="006E0CB2">
            <w:pPr>
              <w:numPr>
                <w:ilvl w:val="1"/>
                <w:numId w:val="29"/>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dane podmiotu, który reprezentuje osoba ubiegająca się o nadanie dostępu lub korzystająca z aplikacji udostępnianych przez Agencję, jeżeli dotyczy. </w:t>
            </w:r>
            <w:r w:rsidRPr="001941B0">
              <w:rPr>
                <w:rFonts w:eastAsiaTheme="minorEastAsia"/>
                <w:sz w:val="20"/>
                <w:szCs w:val="20"/>
              </w:rPr>
              <w:t xml:space="preserve"> </w:t>
            </w:r>
          </w:p>
          <w:p w14:paraId="3E5E7B5F" w14:textId="77777777" w:rsidR="00BB1996" w:rsidRPr="001941B0" w:rsidRDefault="00BB199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Uzasadnienie:</w:t>
            </w:r>
            <w:r w:rsidRPr="001941B0">
              <w:rPr>
                <w:rFonts w:eastAsiaTheme="minorEastAsia"/>
                <w:sz w:val="20"/>
                <w:szCs w:val="20"/>
              </w:rPr>
              <w:t xml:space="preserve"> </w:t>
            </w:r>
          </w:p>
          <w:p w14:paraId="0BAF3393" w14:textId="36962995" w:rsidR="0063705A" w:rsidRPr="001941B0" w:rsidRDefault="00BB199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wyniku dokonanego lub planowanego udostępnienia przez Agencję różnych aplikacji i rozwiązań informatycznych rodzi się potrzeba sformalizowania przetwarzania w systemach informatycznych Agencji (obecnie udostępnianych i planowanych do udostępnienia w ramach Programu Badawczo</w:t>
            </w:r>
            <w:r w:rsidR="00E2028C" w:rsidRPr="001941B0">
              <w:rPr>
                <w:rFonts w:eastAsiaTheme="minorEastAsia"/>
                <w:sz w:val="20"/>
                <w:szCs w:val="20"/>
              </w:rPr>
              <w:t>-</w:t>
            </w:r>
            <w:r w:rsidRPr="001941B0">
              <w:rPr>
                <w:rFonts w:eastAsiaTheme="minorEastAsia"/>
                <w:sz w:val="20"/>
                <w:szCs w:val="20"/>
              </w:rPr>
              <w:t>Rozwojowego realizowanego aktualnie w Agencji) danych użytkowników tych aplikacji, głównie przedstawicieli świadczeniodawców, ale również ekspertów zewnętrznych, członków Rady Przejrzystości i Rady Taryfikacji. Analogiczny przepis funkcjonuje już w ustawie o świadczeniach dla NFZ (art. 188ba).</w:t>
            </w:r>
          </w:p>
        </w:tc>
        <w:tc>
          <w:tcPr>
            <w:tcW w:w="2855" w:type="dxa"/>
            <w:shd w:val="clear" w:color="auto" w:fill="FFFFFF" w:themeFill="background1"/>
          </w:tcPr>
          <w:p w14:paraId="7462E50F" w14:textId="26D1A466" w:rsidR="001B4F94" w:rsidRPr="001941B0" w:rsidRDefault="001B4F94"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10FA6737" w14:textId="177BCF66" w:rsidR="001B4F94" w:rsidRPr="001941B0" w:rsidRDefault="001B4F9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poza zakresem regulacji.</w:t>
            </w:r>
          </w:p>
          <w:p w14:paraId="2AE48398" w14:textId="77777777" w:rsidR="004F6B6C" w:rsidRPr="001941B0" w:rsidRDefault="004F6B6C" w:rsidP="006E0CB2">
            <w:pPr>
              <w:autoSpaceDE w:val="0"/>
              <w:autoSpaceDN w:val="0"/>
              <w:adjustRightInd w:val="0"/>
              <w:spacing w:after="0" w:line="240" w:lineRule="auto"/>
              <w:rPr>
                <w:rFonts w:eastAsiaTheme="minorEastAsia"/>
                <w:sz w:val="20"/>
                <w:szCs w:val="20"/>
              </w:rPr>
            </w:pPr>
          </w:p>
          <w:p w14:paraId="5B5A4327" w14:textId="3E5BF831" w:rsidR="0063705A" w:rsidRPr="001941B0" w:rsidRDefault="004F6B6C"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w:t>
            </w:r>
          </w:p>
        </w:tc>
      </w:tr>
      <w:tr w:rsidR="00FC7212" w:rsidRPr="001941B0" w14:paraId="634E5825" w14:textId="77777777" w:rsidTr="7139DBB9">
        <w:tc>
          <w:tcPr>
            <w:tcW w:w="1125" w:type="dxa"/>
            <w:shd w:val="clear" w:color="auto" w:fill="FFFFFF" w:themeFill="background1"/>
          </w:tcPr>
          <w:p w14:paraId="28367FB5" w14:textId="77777777" w:rsidR="004D770D" w:rsidRPr="001941B0" w:rsidRDefault="004D770D"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DCE0D3B" w14:textId="7E9D34D7"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74DE7F66" w14:textId="730172F7"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19A45BA7" w14:textId="77777777"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W ustawie z dnia 27 sierpnia 2004 r. o świadczeniach opieki zdrowotnej finansowanych ze środków publicznych (Dz. U. z 2025 r., poz. 1461 z późn. zm.) wprowadza się następujące zmiany: </w:t>
            </w:r>
          </w:p>
          <w:p w14:paraId="21A75C85" w14:textId="77777777" w:rsidR="008D331B" w:rsidRPr="001941B0" w:rsidRDefault="008D331B"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3) </w:t>
            </w:r>
            <w:r w:rsidRPr="001941B0">
              <w:rPr>
                <w:rFonts w:eastAsiaTheme="minorEastAsia"/>
                <w:b/>
                <w:sz w:val="20"/>
                <w:szCs w:val="20"/>
                <w:u w:val="single"/>
              </w:rPr>
              <w:t xml:space="preserve">proponuje się dodanie art. 31le w brzmieniu: </w:t>
            </w:r>
            <w:r w:rsidRPr="001941B0">
              <w:rPr>
                <w:rFonts w:eastAsiaTheme="minorEastAsia"/>
                <w:sz w:val="20"/>
                <w:szCs w:val="20"/>
              </w:rPr>
              <w:t xml:space="preserve"> </w:t>
            </w:r>
          </w:p>
          <w:p w14:paraId="7077F14C" w14:textId="77777777" w:rsidR="008D331B" w:rsidRPr="001941B0" w:rsidRDefault="008D331B"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„Art. 31le. 1. Organ prowadzący rejestr PESEL udostępnia nieodpłatnie Agencji Oceny Technologii Medycznych i Taryfikacji za pomocą środków komunikacji elektronicznej następujący zakres danych: </w:t>
            </w:r>
            <w:r w:rsidRPr="001941B0">
              <w:rPr>
                <w:rFonts w:eastAsiaTheme="minorEastAsia"/>
                <w:sz w:val="20"/>
                <w:szCs w:val="20"/>
              </w:rPr>
              <w:t xml:space="preserve"> </w:t>
            </w:r>
          </w:p>
          <w:p w14:paraId="4470F6E2"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nazwisko i imię (imiona); </w:t>
            </w:r>
            <w:r w:rsidRPr="001941B0">
              <w:rPr>
                <w:rFonts w:eastAsiaTheme="minorEastAsia"/>
                <w:sz w:val="20"/>
                <w:szCs w:val="20"/>
              </w:rPr>
              <w:t xml:space="preserve"> </w:t>
            </w:r>
          </w:p>
          <w:p w14:paraId="3CBC02C2"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 PESEL; </w:t>
            </w:r>
            <w:r w:rsidRPr="001941B0">
              <w:rPr>
                <w:rFonts w:eastAsiaTheme="minorEastAsia"/>
                <w:sz w:val="20"/>
                <w:szCs w:val="20"/>
              </w:rPr>
              <w:t xml:space="preserve"> </w:t>
            </w:r>
          </w:p>
          <w:p w14:paraId="13C2B155"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numery PESEL rodziców; </w:t>
            </w:r>
            <w:r w:rsidRPr="001941B0">
              <w:rPr>
                <w:rFonts w:eastAsiaTheme="minorEastAsia"/>
                <w:sz w:val="20"/>
                <w:szCs w:val="20"/>
              </w:rPr>
              <w:t xml:space="preserve"> </w:t>
            </w:r>
          </w:p>
          <w:p w14:paraId="2F19D017"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data urodzenia; </w:t>
            </w:r>
            <w:r w:rsidRPr="001941B0">
              <w:rPr>
                <w:rFonts w:eastAsiaTheme="minorEastAsia"/>
                <w:sz w:val="20"/>
                <w:szCs w:val="20"/>
              </w:rPr>
              <w:t xml:space="preserve"> </w:t>
            </w:r>
          </w:p>
          <w:p w14:paraId="0C50BD67"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płeć; </w:t>
            </w:r>
            <w:r w:rsidRPr="001941B0">
              <w:rPr>
                <w:rFonts w:eastAsiaTheme="minorEastAsia"/>
                <w:sz w:val="20"/>
                <w:szCs w:val="20"/>
              </w:rPr>
              <w:t xml:space="preserve"> </w:t>
            </w:r>
          </w:p>
          <w:p w14:paraId="107ED0FE"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lastRenderedPageBreak/>
              <w:t xml:space="preserve">obywatelstwo; </w:t>
            </w:r>
            <w:r w:rsidRPr="001941B0">
              <w:rPr>
                <w:rFonts w:eastAsiaTheme="minorEastAsia"/>
                <w:sz w:val="20"/>
                <w:szCs w:val="20"/>
              </w:rPr>
              <w:t xml:space="preserve"> </w:t>
            </w:r>
          </w:p>
          <w:p w14:paraId="6C245911"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seria i numer dowodu osobistego, paszportu lub innego dokumentu stwierdzającego tożsamość; </w:t>
            </w:r>
            <w:r w:rsidRPr="001941B0">
              <w:rPr>
                <w:rFonts w:eastAsiaTheme="minorEastAsia"/>
                <w:sz w:val="20"/>
                <w:szCs w:val="20"/>
              </w:rPr>
              <w:t xml:space="preserve"> </w:t>
            </w:r>
          </w:p>
          <w:p w14:paraId="4979D53D"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zamieszkania; </w:t>
            </w:r>
            <w:r w:rsidRPr="001941B0">
              <w:rPr>
                <w:rFonts w:eastAsiaTheme="minorEastAsia"/>
                <w:sz w:val="20"/>
                <w:szCs w:val="20"/>
              </w:rPr>
              <w:t xml:space="preserve"> </w:t>
            </w:r>
          </w:p>
          <w:p w14:paraId="61F66CEF"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czasowego miejsca pobytu na terytorium Rzeczypospolitej Polskiej, jeżeli dana osoba nie ma na terytorium Rzeczypospolitej Polskiej miejsca zamieszkania; </w:t>
            </w:r>
            <w:r w:rsidRPr="001941B0">
              <w:rPr>
                <w:rFonts w:eastAsiaTheme="minorEastAsia"/>
                <w:sz w:val="20"/>
                <w:szCs w:val="20"/>
              </w:rPr>
              <w:t xml:space="preserve"> </w:t>
            </w:r>
          </w:p>
          <w:p w14:paraId="45BDFC9E"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zameldowania; </w:t>
            </w:r>
            <w:r w:rsidRPr="001941B0">
              <w:rPr>
                <w:rFonts w:eastAsiaTheme="minorEastAsia"/>
                <w:sz w:val="20"/>
                <w:szCs w:val="20"/>
              </w:rPr>
              <w:t xml:space="preserve"> </w:t>
            </w:r>
          </w:p>
          <w:p w14:paraId="2491138A"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data zgonu; </w:t>
            </w:r>
            <w:r w:rsidRPr="001941B0">
              <w:rPr>
                <w:rFonts w:eastAsiaTheme="minorEastAsia"/>
                <w:sz w:val="20"/>
                <w:szCs w:val="20"/>
              </w:rPr>
              <w:t xml:space="preserve"> </w:t>
            </w:r>
          </w:p>
          <w:p w14:paraId="6CA75C50"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informację, że numer PESEL został nadany w trybie, o którym mowa w art. 4 ustawy wskazanej w art. 12 pkt 13; </w:t>
            </w:r>
            <w:r w:rsidRPr="001941B0">
              <w:rPr>
                <w:rFonts w:eastAsiaTheme="minorEastAsia"/>
                <w:sz w:val="20"/>
                <w:szCs w:val="20"/>
              </w:rPr>
              <w:t xml:space="preserve"> </w:t>
            </w:r>
          </w:p>
          <w:p w14:paraId="6B8D5854"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adres zamieszkania; </w:t>
            </w:r>
            <w:r w:rsidRPr="001941B0">
              <w:rPr>
                <w:rFonts w:eastAsiaTheme="minorEastAsia"/>
                <w:sz w:val="20"/>
                <w:szCs w:val="20"/>
              </w:rPr>
              <w:t xml:space="preserve"> </w:t>
            </w:r>
          </w:p>
          <w:p w14:paraId="288284AE"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stopień niepełnosprawności; </w:t>
            </w:r>
            <w:r w:rsidRPr="001941B0">
              <w:rPr>
                <w:rFonts w:eastAsiaTheme="minorEastAsia"/>
                <w:sz w:val="20"/>
                <w:szCs w:val="20"/>
              </w:rPr>
              <w:t xml:space="preserve"> </w:t>
            </w:r>
          </w:p>
          <w:p w14:paraId="3228CBEC" w14:textId="77777777" w:rsidR="008D331B" w:rsidRPr="001941B0" w:rsidRDefault="008D331B" w:rsidP="006E0CB2">
            <w:pPr>
              <w:numPr>
                <w:ilvl w:val="0"/>
                <w:numId w:val="30"/>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informacje o zmianie danych, o których mowa w pkt 1-14. </w:t>
            </w:r>
            <w:r w:rsidRPr="001941B0">
              <w:rPr>
                <w:rFonts w:eastAsiaTheme="minorEastAsia"/>
                <w:sz w:val="20"/>
                <w:szCs w:val="20"/>
              </w:rPr>
              <w:t xml:space="preserve"> </w:t>
            </w:r>
          </w:p>
          <w:p w14:paraId="6223E5DD" w14:textId="14B8323D" w:rsidR="008D331B" w:rsidRPr="001941B0" w:rsidRDefault="008D331B" w:rsidP="006E0CB2">
            <w:pPr>
              <w:numPr>
                <w:ilvl w:val="0"/>
                <w:numId w:val="3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Organ prowadzący rejestr PESEL i Agencja uzgadniają format udostępnianych danych, o których mowa w ust. 1. </w:t>
            </w:r>
            <w:r w:rsidRPr="001941B0">
              <w:rPr>
                <w:rFonts w:eastAsiaTheme="minorEastAsia"/>
                <w:sz w:val="20"/>
                <w:szCs w:val="20"/>
              </w:rPr>
              <w:t xml:space="preserve"> </w:t>
            </w:r>
          </w:p>
          <w:p w14:paraId="163633EB" w14:textId="77777777" w:rsidR="008D331B" w:rsidRPr="001941B0" w:rsidRDefault="008D331B" w:rsidP="006E0CB2">
            <w:pPr>
              <w:numPr>
                <w:ilvl w:val="0"/>
                <w:numId w:val="31"/>
              </w:num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Agencja przetwarza dane celem realizacji zadań określonych w art. 31n pkt 1–3d i 4a–4g.” </w:t>
            </w:r>
            <w:r w:rsidRPr="001941B0">
              <w:rPr>
                <w:rFonts w:eastAsiaTheme="minorEastAsia"/>
                <w:sz w:val="20"/>
                <w:szCs w:val="20"/>
              </w:rPr>
              <w:t xml:space="preserve"> </w:t>
            </w:r>
          </w:p>
          <w:p w14:paraId="19330742" w14:textId="57F0DDE0" w:rsidR="008D331B" w:rsidRPr="001941B0" w:rsidRDefault="008D331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Uzasadnienie:</w:t>
            </w:r>
            <w:r w:rsidRPr="001941B0">
              <w:rPr>
                <w:rFonts w:eastAsiaTheme="minorEastAsia"/>
                <w:sz w:val="20"/>
                <w:szCs w:val="20"/>
              </w:rPr>
              <w:t xml:space="preserve">  </w:t>
            </w:r>
          </w:p>
          <w:p w14:paraId="16CA6CA2" w14:textId="76CC7206" w:rsidR="004D770D" w:rsidRPr="001941B0" w:rsidRDefault="008D331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Gromadzenie danych z Bazy PESEL jest niezbędne w celu realizacji zadań ustawowych oraz przeprowadzania analiz na rzecz systemu ochrony zdrowia. W chwili obecnej Agencja pozyskuje te dane na mocy decyzji Ministra Cyfryzacji z dnia 22 marca 2023 r., znak DZS.WSRP.8501.26.2023 (COIZo.5161.1.108.2022). Agencja może pozyskiwać te dane na mocy  art. 46 ust.1 pkt 1 ustawy o ewidencji ludności (dz. U z 2024 r., poz. 736). Wydaje się zasadne wprowadzenie odpowiedniego przepisu</w:t>
            </w:r>
            <w:r w:rsidR="00321FB9" w:rsidRPr="001941B0">
              <w:rPr>
                <w:rFonts w:eastAsiaTheme="minorEastAsia"/>
                <w:sz w:val="20"/>
                <w:szCs w:val="20"/>
              </w:rPr>
              <w:t xml:space="preserve"> </w:t>
            </w:r>
            <w:r w:rsidRPr="001941B0">
              <w:rPr>
                <w:rFonts w:eastAsiaTheme="minorEastAsia"/>
                <w:sz w:val="20"/>
                <w:szCs w:val="20"/>
              </w:rPr>
              <w:t>w ustawie o świadczeniach, dających Agencji pełne prawo do przetwarzania danych określonych w tym przepisie.</w:t>
            </w:r>
          </w:p>
        </w:tc>
        <w:tc>
          <w:tcPr>
            <w:tcW w:w="2855" w:type="dxa"/>
            <w:shd w:val="clear" w:color="auto" w:fill="FFFFFF" w:themeFill="background1"/>
          </w:tcPr>
          <w:p w14:paraId="32585E08" w14:textId="0FEB5CF7" w:rsidR="00AF471E" w:rsidRPr="001941B0" w:rsidRDefault="0074562C"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lastRenderedPageBreak/>
              <w:t>Uwaga nieuwzględniona</w:t>
            </w:r>
            <w:r w:rsidRPr="001941B0">
              <w:rPr>
                <w:rFonts w:eastAsiaTheme="minorEastAsia"/>
                <w:sz w:val="20"/>
                <w:szCs w:val="20"/>
              </w:rPr>
              <w:t xml:space="preserve"> </w:t>
            </w:r>
          </w:p>
          <w:p w14:paraId="6EB65100" w14:textId="6B831EAD" w:rsidR="004D770D" w:rsidRPr="001941B0" w:rsidRDefault="00AF471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w:t>
            </w:r>
            <w:r w:rsidR="0074562C" w:rsidRPr="001941B0">
              <w:rPr>
                <w:rFonts w:eastAsiaTheme="minorEastAsia"/>
                <w:sz w:val="20"/>
                <w:szCs w:val="20"/>
              </w:rPr>
              <w:t>oza zakresem regulacji.</w:t>
            </w:r>
          </w:p>
        </w:tc>
      </w:tr>
      <w:tr w:rsidR="00FC7212" w:rsidRPr="001941B0" w14:paraId="3A3F8CBC" w14:textId="77777777" w:rsidTr="7139DBB9">
        <w:tc>
          <w:tcPr>
            <w:tcW w:w="1125" w:type="dxa"/>
            <w:shd w:val="clear" w:color="auto" w:fill="FFFFFF" w:themeFill="background1"/>
          </w:tcPr>
          <w:p w14:paraId="4F987A0D" w14:textId="77777777" w:rsidR="004D770D" w:rsidRPr="001941B0" w:rsidRDefault="004D770D"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78F332B" w14:textId="515CDB20"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BAAC86C" w14:textId="65CD11AF"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072C4211" w14:textId="77777777"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W ustawie z dnia 27 sierpnia 2004 r. o świadczeniach opieki zdrowotnej finansowanych ze środków publicznych (Dz. U. </w:t>
            </w:r>
            <w:r w:rsidRPr="001941B0">
              <w:rPr>
                <w:rFonts w:eastAsiaTheme="minorEastAsia"/>
                <w:b/>
                <w:sz w:val="20"/>
                <w:szCs w:val="20"/>
              </w:rPr>
              <w:lastRenderedPageBreak/>
              <w:t xml:space="preserve">z 2025 r., poz. 1461 z późn. zm.) wprowadza się następujące zmiany: </w:t>
            </w:r>
          </w:p>
          <w:p w14:paraId="500DD194" w14:textId="77777777" w:rsidR="00F36A74" w:rsidRPr="001941B0" w:rsidRDefault="00F36A74"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4) </w:t>
            </w:r>
            <w:r w:rsidRPr="001941B0">
              <w:rPr>
                <w:rFonts w:eastAsiaTheme="minorEastAsia"/>
                <w:b/>
                <w:sz w:val="20"/>
                <w:szCs w:val="20"/>
                <w:u w:val="single"/>
              </w:rPr>
              <w:t xml:space="preserve">w art. 188e: </w:t>
            </w:r>
            <w:r w:rsidRPr="001941B0">
              <w:rPr>
                <w:rFonts w:eastAsiaTheme="minorEastAsia"/>
                <w:b/>
                <w:sz w:val="20"/>
                <w:szCs w:val="20"/>
              </w:rPr>
              <w:t xml:space="preserve"> </w:t>
            </w:r>
          </w:p>
          <w:p w14:paraId="28E23AE7" w14:textId="3FEE037E" w:rsidR="00F36A74" w:rsidRPr="001941B0" w:rsidRDefault="00F36A74"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a) w ust. 4 po pkt 3 kropkę zastępuje się przecinkiem i dodaje się pkt 4 w brzmieniu:  </w:t>
            </w:r>
          </w:p>
          <w:p w14:paraId="68842BAD" w14:textId="77777777" w:rsidR="00F36A74" w:rsidRPr="001941B0" w:rsidRDefault="00F36A74"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„4) Agencja Oceny Technologii Medycznych i Taryfikacji.” </w:t>
            </w:r>
            <w:r w:rsidRPr="001941B0">
              <w:rPr>
                <w:rFonts w:eastAsiaTheme="minorEastAsia"/>
                <w:sz w:val="20"/>
                <w:szCs w:val="20"/>
              </w:rPr>
              <w:t xml:space="preserve"> </w:t>
            </w:r>
          </w:p>
          <w:p w14:paraId="75FFD63F" w14:textId="16F837D5" w:rsidR="00F36A74" w:rsidRPr="001941B0" w:rsidRDefault="00A1740A"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b) </w:t>
            </w:r>
            <w:r w:rsidR="00F36A74" w:rsidRPr="001941B0">
              <w:rPr>
                <w:rFonts w:eastAsiaTheme="minorEastAsia"/>
                <w:b/>
                <w:sz w:val="20"/>
                <w:szCs w:val="20"/>
              </w:rPr>
              <w:t xml:space="preserve">dodaje się  ust. 6 w brzmieniu:  </w:t>
            </w:r>
          </w:p>
          <w:p w14:paraId="78AC2D95" w14:textId="14626585" w:rsidR="00F36A74" w:rsidRPr="001941B0" w:rsidRDefault="00F36A7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w:t>
            </w:r>
            <w:r w:rsidRPr="001941B0">
              <w:rPr>
                <w:rFonts w:eastAsiaTheme="minorEastAsia"/>
                <w:i/>
                <w:sz w:val="20"/>
                <w:szCs w:val="20"/>
              </w:rPr>
              <w:t>„6. Prezes Funduszu zobowiązany jest do nieodpłatnego przekazywania danych,  o których mowa</w:t>
            </w:r>
            <w:r w:rsidR="00A1740A" w:rsidRPr="001941B0">
              <w:rPr>
                <w:rFonts w:eastAsiaTheme="minorEastAsia"/>
                <w:i/>
                <w:sz w:val="20"/>
                <w:szCs w:val="20"/>
              </w:rPr>
              <w:t xml:space="preserve"> </w:t>
            </w:r>
            <w:r w:rsidRPr="001941B0">
              <w:rPr>
                <w:rFonts w:eastAsiaTheme="minorEastAsia"/>
                <w:i/>
                <w:sz w:val="20"/>
                <w:szCs w:val="20"/>
              </w:rPr>
              <w:t>w ust. 2, przetwarzanych w systemie, o którym w ust. 1 Agencji Oceny Technologii Medycznych</w:t>
            </w:r>
            <w:r w:rsidR="00A1740A" w:rsidRPr="001941B0">
              <w:rPr>
                <w:rFonts w:eastAsiaTheme="minorEastAsia"/>
                <w:i/>
                <w:sz w:val="20"/>
                <w:szCs w:val="20"/>
              </w:rPr>
              <w:t xml:space="preserve"> </w:t>
            </w:r>
            <w:r w:rsidRPr="001941B0">
              <w:rPr>
                <w:rFonts w:eastAsiaTheme="minorEastAsia"/>
                <w:i/>
                <w:sz w:val="20"/>
                <w:szCs w:val="20"/>
              </w:rPr>
              <w:t xml:space="preserve">i Taryfikacji po zamknięciu każdego okresu sprawozdawczego, w celu realizacji zadań Agencji Oceny Technologii Medycznych  i Taryfikacji określonych w art.31n pkt 1-3d i 4a-4g  ustawy o świadczeniach zdrowotnych finansowanych ze środków publicznych oraz w celu dokonywania analiz na rzecz systemu ochrony zdrowia.”  </w:t>
            </w:r>
          </w:p>
          <w:p w14:paraId="25A9DDCD" w14:textId="77777777" w:rsidR="00F36A74" w:rsidRPr="001941B0" w:rsidRDefault="00F36A7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u w:val="single"/>
              </w:rPr>
              <w:t>Uzasadnienie:</w:t>
            </w:r>
            <w:r w:rsidRPr="001941B0">
              <w:rPr>
                <w:rFonts w:eastAsiaTheme="minorEastAsia"/>
                <w:sz w:val="20"/>
                <w:szCs w:val="20"/>
              </w:rPr>
              <w:t xml:space="preserve">  </w:t>
            </w:r>
          </w:p>
          <w:p w14:paraId="67E02B82" w14:textId="04FD1555" w:rsidR="00F36A74" w:rsidRPr="001941B0" w:rsidRDefault="00F36A7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celu zapewnienia prawidłowej realizacji zadań ustawowych Agencji określonych, w 31n pkt 1-3d</w:t>
            </w:r>
            <w:r w:rsidR="00A1740A" w:rsidRPr="001941B0">
              <w:rPr>
                <w:rFonts w:eastAsiaTheme="minorEastAsia"/>
                <w:sz w:val="20"/>
                <w:szCs w:val="20"/>
              </w:rPr>
              <w:t xml:space="preserve"> </w:t>
            </w:r>
            <w:r w:rsidRPr="001941B0">
              <w:rPr>
                <w:rFonts w:eastAsiaTheme="minorEastAsia"/>
                <w:sz w:val="20"/>
                <w:szCs w:val="20"/>
              </w:rPr>
              <w:t>i 4a-4g ustawy o świadczeniach oraz w celu dokonywania analiz na rzecz systemu ochrony zdrowia, zasadne jest zapewnienie Agencji możliwości pozyskiwania z Narodowego Funduszu Zdrowia danych gromadzonych  w elektronicznym systemie  monitorowania programów zdrowotnych (SIMP),</w:t>
            </w:r>
            <w:r w:rsidR="00D42D36" w:rsidRPr="001941B0">
              <w:rPr>
                <w:rFonts w:eastAsiaTheme="minorEastAsia"/>
                <w:sz w:val="20"/>
                <w:szCs w:val="20"/>
              </w:rPr>
              <w:t xml:space="preserve"> </w:t>
            </w:r>
            <w:r w:rsidRPr="001941B0">
              <w:rPr>
                <w:rFonts w:eastAsiaTheme="minorEastAsia"/>
                <w:sz w:val="20"/>
                <w:szCs w:val="20"/>
              </w:rPr>
              <w:t>o którym mowa w art. 188e ustawy o świadczeniach. Oczekiwaniem Agencji jest pozyskiwanie tych danych w trybie ciągłym, w uzgodnionym formacie i strukturze, która umożliwi cykliczne i zautomatyzowane wczytywanie tych danych do centralnej hurtowni danych. Umożliwi to dostęp do tych danych dla różnych analityków Agencji, w miarę potrzeb, bez potrzeby każdorazowego wnioskowania  o te dane od różnych wnioskodawców po stronie Agencji i w różnym zakresie</w:t>
            </w:r>
            <w:r w:rsidR="00454DD7" w:rsidRPr="001941B0">
              <w:rPr>
                <w:rFonts w:eastAsiaTheme="minorEastAsia"/>
                <w:sz w:val="20"/>
                <w:szCs w:val="20"/>
              </w:rPr>
              <w:t xml:space="preserve"> </w:t>
            </w:r>
            <w:r w:rsidRPr="001941B0">
              <w:rPr>
                <w:rFonts w:eastAsiaTheme="minorEastAsia"/>
                <w:sz w:val="20"/>
                <w:szCs w:val="20"/>
              </w:rPr>
              <w:t xml:space="preserve">i strukturze. Celem Agencji jest również optymalizację procesów pozyskiwania danych poprzez automatyzację tego procesu z wykorzystaniem nowszych technologii informatycznych.  </w:t>
            </w:r>
          </w:p>
          <w:p w14:paraId="21D79BDF" w14:textId="52F15B9F" w:rsidR="004D770D" w:rsidRPr="001941B0" w:rsidRDefault="00F36A7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W związku z realizacją projektów w ramach Programu Badawczo-Rozwojowego konieczne jest pozyskiwanie przez Agencję szerszego zakresu danych niż dotychczas, w trybie ciągłym, ewentualnie cyklicznie z dodatkowych źródeł danych (systemów IT i gestorów). Konieczne jest też zobowiązanie gestorów danych do przekazywania szerszego zakresu danych niż obecnie gromadziła Agencja.</w:t>
            </w:r>
          </w:p>
        </w:tc>
        <w:tc>
          <w:tcPr>
            <w:tcW w:w="2855" w:type="dxa"/>
            <w:shd w:val="clear" w:color="auto" w:fill="FFFFFF" w:themeFill="background1"/>
          </w:tcPr>
          <w:p w14:paraId="2A2DE109" w14:textId="1D1C85FC" w:rsidR="0099173F" w:rsidRPr="001941B0" w:rsidRDefault="0099173F"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3D1EDB0E" w14:textId="4A8E9182" w:rsidR="0099173F" w:rsidRPr="001941B0" w:rsidRDefault="00AF471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w:t>
            </w:r>
            <w:r w:rsidR="0099173F" w:rsidRPr="001941B0">
              <w:rPr>
                <w:rFonts w:eastAsiaTheme="minorEastAsia"/>
                <w:sz w:val="20"/>
                <w:szCs w:val="20"/>
              </w:rPr>
              <w:t>oza zakresem regulacji.</w:t>
            </w:r>
          </w:p>
          <w:p w14:paraId="67837C2C" w14:textId="492727D0" w:rsidR="004D770D" w:rsidRPr="001941B0" w:rsidRDefault="004D770D" w:rsidP="006E0CB2">
            <w:pPr>
              <w:autoSpaceDE w:val="0"/>
              <w:autoSpaceDN w:val="0"/>
              <w:adjustRightInd w:val="0"/>
              <w:spacing w:after="0" w:line="240" w:lineRule="auto"/>
              <w:rPr>
                <w:rFonts w:eastAsiaTheme="minorEastAsia"/>
                <w:sz w:val="20"/>
                <w:szCs w:val="20"/>
              </w:rPr>
            </w:pPr>
          </w:p>
        </w:tc>
      </w:tr>
      <w:tr w:rsidR="00FC7212" w:rsidRPr="001941B0" w14:paraId="681371FB" w14:textId="77777777" w:rsidTr="7139DBB9">
        <w:tc>
          <w:tcPr>
            <w:tcW w:w="1125" w:type="dxa"/>
            <w:shd w:val="clear" w:color="auto" w:fill="FFFFFF" w:themeFill="background1"/>
          </w:tcPr>
          <w:p w14:paraId="22022097" w14:textId="77777777" w:rsidR="004D770D" w:rsidRPr="001941B0" w:rsidRDefault="004D770D"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6A90869" w14:textId="47EF3156"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5DB48FE4" w14:textId="644A3221" w:rsidR="004D770D" w:rsidRPr="001941B0" w:rsidRDefault="004D770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ogólna</w:t>
            </w:r>
          </w:p>
        </w:tc>
        <w:tc>
          <w:tcPr>
            <w:tcW w:w="5652" w:type="dxa"/>
            <w:shd w:val="clear" w:color="auto" w:fill="FFFFFF" w:themeFill="background1"/>
          </w:tcPr>
          <w:p w14:paraId="58FD8073" w14:textId="77777777" w:rsidR="00EB0ED4"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u w:val="single"/>
              </w:rPr>
              <w:t>W ustawie z dnia 20 lipca 2018 r. Prawo o szkolnictwie wyższym i nauce (Dz. U. z 2024 r. poz. 1571z</w:t>
            </w:r>
            <w:r w:rsidRPr="001941B0">
              <w:rPr>
                <w:rFonts w:eastAsiaTheme="minorEastAsia"/>
                <w:b/>
                <w:sz w:val="20"/>
                <w:szCs w:val="20"/>
              </w:rPr>
              <w:t xml:space="preserve"> </w:t>
            </w:r>
            <w:r w:rsidRPr="001941B0">
              <w:rPr>
                <w:rFonts w:eastAsiaTheme="minorEastAsia"/>
                <w:b/>
                <w:sz w:val="20"/>
                <w:szCs w:val="20"/>
                <w:u w:val="single"/>
              </w:rPr>
              <w:t>późń. zm.)</w:t>
            </w:r>
            <w:r w:rsidRPr="001941B0">
              <w:rPr>
                <w:rFonts w:eastAsiaTheme="minorEastAsia"/>
                <w:sz w:val="20"/>
                <w:szCs w:val="20"/>
              </w:rPr>
              <w:t xml:space="preserve"> </w:t>
            </w:r>
            <w:r w:rsidRPr="001941B0">
              <w:rPr>
                <w:rFonts w:eastAsiaTheme="minorEastAsia"/>
                <w:b/>
                <w:sz w:val="20"/>
                <w:szCs w:val="20"/>
                <w:u w:val="single"/>
              </w:rPr>
              <w:t>w art. 7 ust. 2 po pkt 4 dodaje się pkt 4a w brzmieniu</w:t>
            </w:r>
            <w:r w:rsidRPr="001941B0">
              <w:rPr>
                <w:rFonts w:eastAsiaTheme="minorEastAsia"/>
                <w:sz w:val="20"/>
                <w:szCs w:val="20"/>
              </w:rPr>
              <w:t xml:space="preserve">: </w:t>
            </w:r>
          </w:p>
          <w:p w14:paraId="741B3029" w14:textId="69CA3DC4" w:rsidR="00EB0ED4"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i/>
                <w:sz w:val="20"/>
                <w:szCs w:val="20"/>
              </w:rPr>
              <w:t xml:space="preserve">„4a) Agencja Oceny Technologii Medycznych i Taryfikacji, działająca na podstawie ustawy z dnia 27 sierpnia 2004 r. o świadczeniach opieki zdrowotnej finansowanych ze środków publicznych (Dz. U. z 2024 r., poz. 146  z późn. zm.);”. </w:t>
            </w:r>
          </w:p>
          <w:p w14:paraId="530120A0" w14:textId="77777777" w:rsidR="00EB0ED4" w:rsidRPr="001941B0" w:rsidRDefault="00EB0ED4" w:rsidP="006E0CB2">
            <w:pPr>
              <w:autoSpaceDE w:val="0"/>
              <w:autoSpaceDN w:val="0"/>
              <w:adjustRightInd w:val="0"/>
              <w:spacing w:after="0" w:line="240" w:lineRule="auto"/>
              <w:rPr>
                <w:rFonts w:eastAsiaTheme="minorEastAsia"/>
                <w:sz w:val="20"/>
                <w:szCs w:val="20"/>
                <w:u w:val="single"/>
              </w:rPr>
            </w:pPr>
            <w:r w:rsidRPr="001941B0">
              <w:rPr>
                <w:rFonts w:eastAsiaTheme="minorEastAsia"/>
                <w:sz w:val="20"/>
                <w:szCs w:val="20"/>
                <w:u w:val="single"/>
              </w:rPr>
              <w:t>Uzasadnienie</w:t>
            </w:r>
            <w:r w:rsidRPr="001941B0">
              <w:rPr>
                <w:rFonts w:eastAsiaTheme="minorEastAsia"/>
                <w:sz w:val="20"/>
                <w:szCs w:val="20"/>
              </w:rPr>
              <w:t xml:space="preserve"> </w:t>
            </w:r>
          </w:p>
          <w:p w14:paraId="515DA5C5" w14:textId="6E995017" w:rsidR="00EB0ED4"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Zasadne jest dodanie Agencji Oceny Technologii Medycznych i Taryfikacji  do katalogu podmiotów działających na rzecz systemu szkolnictwa wyższego i nauki. Zgodnie z art. 31n pkt 4b ustawy z dnia 27 sierpnia 2004 r. o świadczeniach opieki zdrowotnej finansowanych ze środków publicznych (Dz. U. z 2024 r., poz. 146), zwanej dalej „ustawą o świadczeniach”,   do zadań Agencji należy inicjowanie, wspieranie i prowadzenie analiz oraz badań naukowych i prac rozwojowych</w:t>
            </w:r>
            <w:r w:rsidR="006025D7" w:rsidRPr="001941B0">
              <w:rPr>
                <w:rFonts w:eastAsiaTheme="minorEastAsia"/>
                <w:sz w:val="20"/>
                <w:szCs w:val="20"/>
              </w:rPr>
              <w:t xml:space="preserve"> </w:t>
            </w:r>
            <w:r w:rsidRPr="001941B0">
              <w:rPr>
                <w:rFonts w:eastAsiaTheme="minorEastAsia"/>
                <w:sz w:val="20"/>
                <w:szCs w:val="20"/>
              </w:rPr>
              <w:t xml:space="preserve">w zakresie oceny technologii medycznych, taryfikacji </w:t>
            </w:r>
            <w:r w:rsidRPr="001941B0">
              <w:rPr>
                <w:rFonts w:eastAsiaTheme="minorEastAsia"/>
                <w:i/>
                <w:sz w:val="20"/>
                <w:szCs w:val="20"/>
              </w:rPr>
              <w:t xml:space="preserve">świadczeń </w:t>
            </w:r>
            <w:r w:rsidRPr="001941B0">
              <w:rPr>
                <w:rFonts w:eastAsiaTheme="minorEastAsia"/>
                <w:sz w:val="20"/>
                <w:szCs w:val="20"/>
              </w:rPr>
              <w:t xml:space="preserve">oraz sporządzanie oceny założeń do realizacji </w:t>
            </w:r>
            <w:r w:rsidRPr="001941B0">
              <w:rPr>
                <w:rFonts w:eastAsiaTheme="minorEastAsia"/>
                <w:i/>
                <w:sz w:val="20"/>
                <w:szCs w:val="20"/>
              </w:rPr>
              <w:t>świadczeń opieki</w:t>
            </w:r>
            <w:r w:rsidRPr="001941B0">
              <w:rPr>
                <w:rFonts w:eastAsiaTheme="minorEastAsia"/>
                <w:sz w:val="20"/>
                <w:szCs w:val="20"/>
              </w:rPr>
              <w:t xml:space="preserve"> zdrowotnej. Tym samym Agencja realizuje zadania w zakresie m.in. powadzenia badań naukowych. </w:t>
            </w:r>
          </w:p>
          <w:p w14:paraId="10AD57C0" w14:textId="77777777" w:rsidR="00EB0ED4"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Zadania Agencji określone w art. 31n  ustawy o świadczeniach obejmują również opracowywanie analiz oceny technologii medycznych na potrzeby Ministra Zdrowia, w celu wspierania podejmowanych przez niego decyzji refundacyjnych oraz dotyczących wykazów świadczeń gwarantowanych. Ponadto do zadań Agencji należy opracowywanie, weryfikacja, gromadzenie, udostępnianie i upowszechnianie informacji o metodologii prowadzenia oceny technologii medycznych oraz o technologiach medycznych opracowywanych w </w:t>
            </w:r>
            <w:r w:rsidRPr="001941B0">
              <w:rPr>
                <w:rFonts w:eastAsiaTheme="minorEastAsia"/>
                <w:sz w:val="20"/>
                <w:szCs w:val="20"/>
              </w:rPr>
              <w:lastRenderedPageBreak/>
              <w:t xml:space="preserve">Rzeczypospolitej Polskiej i innych krajach oraz o zasadach ustalania taryfy świadczeń. </w:t>
            </w:r>
          </w:p>
          <w:p w14:paraId="1ED1FFD1" w14:textId="77777777" w:rsidR="00EB0ED4"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Agencja wykonuje swoje ustawowe zadania w oparciu o uznaną na arenie międzynarodowej metodologię oceny technologii medycznych (ang. health technology assessment, HTA). Podstawą pracy jest systematyczne wyszukiwanie i analizowanie wiarygodnych publikacji naukowych dotyczących efektywności klinicznej, bezpieczeństwa i efektywności ekonomicznej technologii medycznych.  </w:t>
            </w:r>
          </w:p>
          <w:p w14:paraId="03BF3DC5" w14:textId="77777777" w:rsidR="00EB0ED4"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celu realizacji swoich zadań ustawowych Agencja wykupuje corocznie dostęp do baz publikacji naukowych, takich jak EMBASE i The Cochrane Library. Nie zaspokaja to jednak potrzeb informacyjnych. Tymczasem dostęp do publikacji w pełnej treści niezbędny do przeprowadzenia wiarygodnych ocen technologii medycznych jest dodatkowo płatny. Wiąże się to z istotnymi kosztami ze strony budżetu państwa. </w:t>
            </w:r>
          </w:p>
          <w:p w14:paraId="6210D168" w14:textId="77777777" w:rsidR="00EB0ED4"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Mając na uwadze fakt, iż tworzone w Agencji raporty oraz analizy weryfikacyjne dotyczące oceny technologii medycznych powstają m.in. na podstawie najnowszych publikacji naukowych i prezentują naukowe przesłanki decyzji Ministra Zdrowia oraz publikowane są w Biuletynie Informacji Publicznej, jak również to, że zadaniem Agencji jest upowszechnianie wiedzy w zakresie swojej specjalizacji, konieczne jest zagwarantowanie w przepisach prawa  Agencji uprawnienia do korzystania z Wirtualnej Biblioteki Nauki. Dostęp do przedmiotowego systemu udostępniania w formie elektronicznej naukowych baz danych oraz publikacji naukowych  jest niezbędny do prawidłowej realizacji ustawowych zadań przez Agencję. </w:t>
            </w:r>
          </w:p>
          <w:p w14:paraId="7300FF4F" w14:textId="62811745" w:rsidR="004D770D" w:rsidRPr="001941B0" w:rsidRDefault="00EB0ED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związku z potrzebą zabezpieczenia dla Agencji dostępu do Wirtualnej Biblioteki Nauki, do której  mają dostęp podmioty tworzące system szkolnictwa wyższego i nauki oraz działające na ich rzecz,</w:t>
            </w:r>
            <w:r w:rsidR="00AF0E5C" w:rsidRPr="001941B0">
              <w:rPr>
                <w:rFonts w:eastAsiaTheme="minorEastAsia"/>
                <w:sz w:val="20"/>
                <w:szCs w:val="20"/>
              </w:rPr>
              <w:t xml:space="preserve"> </w:t>
            </w:r>
            <w:r w:rsidRPr="001941B0">
              <w:rPr>
                <w:rFonts w:eastAsiaTheme="minorEastAsia"/>
                <w:sz w:val="20"/>
                <w:szCs w:val="20"/>
              </w:rPr>
              <w:t>o których mowa w art. 7 stawie z dnia 20 lipca 2018 r. Prawo o szkolnictwie wyższym i nauce (Dz. U.</w:t>
            </w:r>
            <w:r w:rsidR="00AF0E5C" w:rsidRPr="001941B0">
              <w:rPr>
                <w:rFonts w:eastAsiaTheme="minorEastAsia"/>
                <w:sz w:val="20"/>
                <w:szCs w:val="20"/>
              </w:rPr>
              <w:t xml:space="preserve"> </w:t>
            </w:r>
            <w:r w:rsidRPr="001941B0">
              <w:rPr>
                <w:rFonts w:eastAsiaTheme="minorEastAsia"/>
                <w:sz w:val="20"/>
                <w:szCs w:val="20"/>
              </w:rPr>
              <w:t>z 2023 r. poz. 742 z późń. zm.), zasadne jest dodanie Agencji w przedmiotowym  przepisie.</w:t>
            </w:r>
          </w:p>
        </w:tc>
        <w:tc>
          <w:tcPr>
            <w:tcW w:w="2855" w:type="dxa"/>
            <w:shd w:val="clear" w:color="auto" w:fill="FFFFFF" w:themeFill="background1"/>
          </w:tcPr>
          <w:p w14:paraId="3BB44F94" w14:textId="7C3BE0E3" w:rsidR="0099173F" w:rsidRPr="001941B0" w:rsidRDefault="0099173F"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0F5DB451" w14:textId="3BF05D48" w:rsidR="0099173F" w:rsidRPr="001941B0" w:rsidRDefault="00AF471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w:t>
            </w:r>
            <w:r w:rsidR="0099173F" w:rsidRPr="001941B0">
              <w:rPr>
                <w:rFonts w:eastAsiaTheme="minorEastAsia"/>
                <w:sz w:val="20"/>
                <w:szCs w:val="20"/>
              </w:rPr>
              <w:t>oza zakresem regulacji.</w:t>
            </w:r>
          </w:p>
          <w:p w14:paraId="084F5F9B" w14:textId="5EEC0326" w:rsidR="004D770D" w:rsidRPr="001941B0" w:rsidRDefault="004D770D" w:rsidP="006E0CB2">
            <w:pPr>
              <w:autoSpaceDE w:val="0"/>
              <w:autoSpaceDN w:val="0"/>
              <w:adjustRightInd w:val="0"/>
              <w:spacing w:after="0" w:line="240" w:lineRule="auto"/>
              <w:rPr>
                <w:rFonts w:eastAsiaTheme="minorEastAsia"/>
                <w:sz w:val="20"/>
                <w:szCs w:val="20"/>
              </w:rPr>
            </w:pPr>
          </w:p>
        </w:tc>
      </w:tr>
      <w:tr w:rsidR="00FC7212" w:rsidRPr="001941B0" w14:paraId="7EF54684" w14:textId="77777777" w:rsidTr="7139DBB9">
        <w:tc>
          <w:tcPr>
            <w:tcW w:w="1125" w:type="dxa"/>
            <w:shd w:val="clear" w:color="auto" w:fill="FFFFFF" w:themeFill="background1"/>
          </w:tcPr>
          <w:p w14:paraId="32B15DB8" w14:textId="77777777" w:rsidR="000453E5" w:rsidRPr="001941B0" w:rsidRDefault="000453E5"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9653648" w14:textId="7ED93829" w:rsidR="000453E5" w:rsidRPr="001941B0" w:rsidRDefault="000453E5"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1AE04B37" w14:textId="25B87B48" w:rsidR="000453E5" w:rsidRPr="001941B0" w:rsidRDefault="00D8665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784BFE90" w14:textId="333DAC23" w:rsidR="000453E5" w:rsidRPr="001941B0" w:rsidRDefault="00D86658" w:rsidP="006E0CB2">
            <w:pPr>
              <w:autoSpaceDE w:val="0"/>
              <w:autoSpaceDN w:val="0"/>
              <w:adjustRightInd w:val="0"/>
              <w:spacing w:after="0" w:line="240" w:lineRule="auto"/>
              <w:rPr>
                <w:rFonts w:cs="Calibri"/>
                <w:sz w:val="20"/>
                <w:szCs w:val="20"/>
              </w:rPr>
            </w:pPr>
            <w:r w:rsidRPr="001941B0">
              <w:rPr>
                <w:rFonts w:cs="Calibri"/>
                <w:sz w:val="20"/>
                <w:szCs w:val="20"/>
              </w:rPr>
              <w:t>II</w:t>
            </w:r>
            <w:r w:rsidR="000453E5" w:rsidRPr="001941B0">
              <w:rPr>
                <w:rFonts w:cs="Calibri"/>
                <w:sz w:val="20"/>
                <w:szCs w:val="20"/>
              </w:rPr>
              <w:t xml:space="preserve">. </w:t>
            </w:r>
          </w:p>
          <w:p w14:paraId="059761E9" w14:textId="258BC5FD" w:rsidR="007C5168" w:rsidRPr="001941B0" w:rsidRDefault="007C5168" w:rsidP="006E0CB2">
            <w:pPr>
              <w:autoSpaceDE w:val="0"/>
              <w:autoSpaceDN w:val="0"/>
              <w:adjustRightInd w:val="0"/>
              <w:spacing w:after="0" w:line="240" w:lineRule="auto"/>
              <w:rPr>
                <w:rFonts w:cs="Calibri"/>
                <w:sz w:val="20"/>
                <w:szCs w:val="20"/>
              </w:rPr>
            </w:pPr>
            <w:r w:rsidRPr="001941B0">
              <w:rPr>
                <w:rFonts w:cs="Calibri"/>
                <w:sz w:val="20"/>
                <w:szCs w:val="20"/>
              </w:rPr>
              <w:lastRenderedPageBreak/>
              <w:t>Proponuje się w ustawie z dnia 6 września 2001 r. — Prawo far</w:t>
            </w:r>
            <w:r w:rsidR="00745CA8" w:rsidRPr="001941B0">
              <w:rPr>
                <w:rFonts w:cs="Calibri"/>
                <w:sz w:val="20"/>
                <w:szCs w:val="20"/>
              </w:rPr>
              <w:t>m</w:t>
            </w:r>
            <w:r w:rsidRPr="001941B0">
              <w:rPr>
                <w:rFonts w:cs="Calibri"/>
                <w:sz w:val="20"/>
                <w:szCs w:val="20"/>
              </w:rPr>
              <w:t>aceutyczne (Dz. U. z 2025 r. poz. 750, 905, 924, 1416, 1537 i 1795) w art. 83, po ust. 2 dodać ust. 2a, który otrzymuje następujące brz</w:t>
            </w:r>
            <w:r w:rsidR="00745CA8" w:rsidRPr="001941B0">
              <w:rPr>
                <w:rFonts w:cs="Calibri"/>
                <w:sz w:val="20"/>
                <w:szCs w:val="20"/>
              </w:rPr>
              <w:t>m</w:t>
            </w:r>
            <w:r w:rsidRPr="001941B0">
              <w:rPr>
                <w:rFonts w:cs="Calibri"/>
                <w:sz w:val="20"/>
                <w:szCs w:val="20"/>
              </w:rPr>
              <w:t>ienie:</w:t>
            </w:r>
          </w:p>
          <w:p w14:paraId="1B93E696" w14:textId="67F1F0CC" w:rsidR="007C5168" w:rsidRPr="001941B0" w:rsidRDefault="007C5168" w:rsidP="006E0CB2">
            <w:pPr>
              <w:autoSpaceDE w:val="0"/>
              <w:autoSpaceDN w:val="0"/>
              <w:adjustRightInd w:val="0"/>
              <w:spacing w:after="0" w:line="240" w:lineRule="auto"/>
              <w:rPr>
                <w:rFonts w:cs="Calibri"/>
                <w:sz w:val="20"/>
                <w:szCs w:val="20"/>
              </w:rPr>
            </w:pPr>
            <w:r w:rsidRPr="001941B0">
              <w:rPr>
                <w:rFonts w:cs="Calibri"/>
                <w:sz w:val="20"/>
                <w:szCs w:val="20"/>
              </w:rPr>
              <w:t xml:space="preserve">„2a. Dane zawarte w rejestrach, o których mowa w ust. 1 i </w:t>
            </w:r>
            <w:r w:rsidR="002F57A5" w:rsidRPr="001941B0">
              <w:rPr>
                <w:rFonts w:cs="Calibri"/>
                <w:sz w:val="20"/>
                <w:szCs w:val="20"/>
              </w:rPr>
              <w:t>1</w:t>
            </w:r>
            <w:r w:rsidRPr="001941B0">
              <w:rPr>
                <w:rFonts w:cs="Calibri"/>
                <w:sz w:val="20"/>
                <w:szCs w:val="20"/>
              </w:rPr>
              <w:t>a, są dostępne publicznie.”.</w:t>
            </w:r>
          </w:p>
          <w:p w14:paraId="35966153" w14:textId="77777777" w:rsidR="000453E5" w:rsidRPr="001941B0" w:rsidRDefault="000453E5" w:rsidP="006E0CB2">
            <w:pPr>
              <w:autoSpaceDE w:val="0"/>
              <w:autoSpaceDN w:val="0"/>
              <w:adjustRightInd w:val="0"/>
              <w:spacing w:after="0" w:line="240" w:lineRule="auto"/>
              <w:rPr>
                <w:rFonts w:cs="Calibri"/>
                <w:b/>
                <w:bCs/>
                <w:sz w:val="20"/>
                <w:szCs w:val="20"/>
              </w:rPr>
            </w:pPr>
            <w:r w:rsidRPr="001941B0">
              <w:rPr>
                <w:rFonts w:cs="Calibri"/>
                <w:b/>
                <w:bCs/>
                <w:sz w:val="20"/>
                <w:szCs w:val="20"/>
              </w:rPr>
              <w:t>Uzasadnienie do pkt I i pkt II - Ujawnianie danych Osoby Odpowiedzialnej w Rejestrze Hurtowni Farmaceutycznych (RHF) w rejestrze dostępnym publicznie.</w:t>
            </w:r>
          </w:p>
          <w:p w14:paraId="65208112" w14:textId="77777777" w:rsidR="000453E5" w:rsidRPr="001941B0" w:rsidRDefault="000453E5" w:rsidP="006E0CB2">
            <w:pPr>
              <w:autoSpaceDE w:val="0"/>
              <w:autoSpaceDN w:val="0"/>
              <w:adjustRightInd w:val="0"/>
              <w:spacing w:after="0" w:line="240" w:lineRule="auto"/>
              <w:rPr>
                <w:rFonts w:cs="Calibri"/>
                <w:sz w:val="20"/>
                <w:szCs w:val="20"/>
              </w:rPr>
            </w:pPr>
            <w:r w:rsidRPr="001941B0">
              <w:rPr>
                <w:rFonts w:cs="Calibri"/>
                <w:sz w:val="20"/>
                <w:szCs w:val="20"/>
              </w:rPr>
              <w:t>Projekt przewiduje obowiązek wskazywania danych Osoby Odpowiedzialnej we wniosku o wydanie zezwolenia na prowadzenie hurtowni farmaceutycznej. Nie jest jednak doprecyzowane, czy dane zawarte w Rejestrze Hurtowni Farmaceutycznych, o którym mowa w art. 83 ust. 1-5 ustawy - Prawo farmaceutyczne, będą dostępne publicznie.</w:t>
            </w:r>
          </w:p>
          <w:p w14:paraId="2B047A2A" w14:textId="77777777" w:rsidR="000453E5" w:rsidRPr="001941B0" w:rsidRDefault="000453E5" w:rsidP="006E0CB2">
            <w:pPr>
              <w:autoSpaceDE w:val="0"/>
              <w:autoSpaceDN w:val="0"/>
              <w:adjustRightInd w:val="0"/>
              <w:spacing w:after="0" w:line="240" w:lineRule="auto"/>
              <w:rPr>
                <w:rFonts w:cs="Calibri"/>
                <w:sz w:val="20"/>
                <w:szCs w:val="20"/>
              </w:rPr>
            </w:pPr>
            <w:r w:rsidRPr="001941B0">
              <w:rPr>
                <w:rFonts w:cs="Calibri"/>
                <w:sz w:val="20"/>
                <w:szCs w:val="20"/>
              </w:rPr>
              <w:t>W ocenie Naczelnej Rady Aptekarskiej dane Osoby Odpowiedzialnej wraz z numerem prawa wykonywania zawodu farmaceuty (PWZF) powinny być ujawniane w Rejestrze Hurtowni Farmaceutycznych w sposób analogiczny do danych kierowników aptek w Rejestrze Aptek. Ujawnienie tych informacji umożliwiłoby weryfikację przypisania personelu fachowego do danego podmiotu oraz kontrolę ewentualnych kolizji wynikających z pełnienia funkcji w kilku placówkach jednocześnie. Brak takich danych powoduje nieuzasadnioną dysproporcję wobec aptek i hurtowni farmaceutycznych.</w:t>
            </w:r>
          </w:p>
          <w:p w14:paraId="65CF62F0" w14:textId="77777777" w:rsidR="000453E5" w:rsidRPr="001941B0" w:rsidRDefault="000453E5" w:rsidP="006E0CB2">
            <w:pPr>
              <w:autoSpaceDE w:val="0"/>
              <w:autoSpaceDN w:val="0"/>
              <w:adjustRightInd w:val="0"/>
              <w:spacing w:after="0" w:line="240" w:lineRule="auto"/>
              <w:rPr>
                <w:rFonts w:cs="Calibri"/>
                <w:sz w:val="20"/>
                <w:szCs w:val="20"/>
              </w:rPr>
            </w:pPr>
            <w:r w:rsidRPr="001941B0">
              <w:rPr>
                <w:rFonts w:cs="Calibri"/>
                <w:sz w:val="20"/>
                <w:szCs w:val="20"/>
              </w:rPr>
              <w:t>W związku z powyższym, Naczelna Rada Aptekarska wnosi o stworzenie ram prawnych, tak, aby w Rejestrze Hurtowni Farmaceutycznych ujawniane były dane Osoby Odpowiedzialnej, w szczególności: imię, nazwisko oraz numer prawa wykonywania zawodu farmaceuty (PWZF).</w:t>
            </w:r>
          </w:p>
          <w:p w14:paraId="60138E8A" w14:textId="77777777" w:rsidR="000453E5" w:rsidRPr="001941B0" w:rsidRDefault="000453E5" w:rsidP="006E0CB2">
            <w:pPr>
              <w:autoSpaceDE w:val="0"/>
              <w:autoSpaceDN w:val="0"/>
              <w:adjustRightInd w:val="0"/>
              <w:spacing w:after="0" w:line="240" w:lineRule="auto"/>
              <w:rPr>
                <w:rFonts w:cs="Calibri"/>
                <w:sz w:val="20"/>
                <w:szCs w:val="20"/>
              </w:rPr>
            </w:pPr>
            <w:r w:rsidRPr="001941B0">
              <w:rPr>
                <w:rFonts w:cs="Calibri"/>
                <w:sz w:val="20"/>
                <w:szCs w:val="20"/>
              </w:rPr>
              <w:t xml:space="preserve">Osoba Odpowiedzialna pełni kluczową funkcję w hurtowni farmaceutycznej, odpowiadając za prawidłowe wykonywanie czynności w obszarze obrotu hurtowego produktami leczniczymi. Dostępność danych Osoby Odpowiedzialnej wraz z numerem PWZF pozwoli na identyfikację potencjalnych kolizji wynikających z równoległego pełnienia funkcji w więcej </w:t>
            </w:r>
            <w:r w:rsidRPr="001941B0">
              <w:rPr>
                <w:rFonts w:cs="Calibri"/>
                <w:sz w:val="20"/>
                <w:szCs w:val="20"/>
              </w:rPr>
              <w:lastRenderedPageBreak/>
              <w:t>niż jednym podmiocie, co ma znaczenie z punktu widzenia jakości nadzoru i realności sprawowania odpowiedzialności zawodowej.</w:t>
            </w:r>
          </w:p>
          <w:p w14:paraId="69503FEA" w14:textId="77777777" w:rsidR="000453E5" w:rsidRPr="001941B0" w:rsidRDefault="000453E5" w:rsidP="006E0CB2">
            <w:pPr>
              <w:autoSpaceDE w:val="0"/>
              <w:autoSpaceDN w:val="0"/>
              <w:adjustRightInd w:val="0"/>
              <w:spacing w:after="0" w:line="240" w:lineRule="auto"/>
              <w:rPr>
                <w:rFonts w:cs="Calibri"/>
                <w:sz w:val="20"/>
                <w:szCs w:val="20"/>
              </w:rPr>
            </w:pPr>
            <w:r w:rsidRPr="001941B0">
              <w:rPr>
                <w:rFonts w:cs="Calibri"/>
                <w:sz w:val="20"/>
                <w:szCs w:val="20"/>
              </w:rPr>
              <w:t>Brak analogicznej transparentności po stronie hurtowni farmaceutycznych powoduje nieuzasadnioną dysproporcję w regulacjach prawnych i obowiązujących zasad wobec aptek i hurtowni, mimo że oba typy podmiotów uczestniczą w łańcuchu dystrybucji produktów leczniczych i powinny podlegać porównywalnym standardom jawności w zakresie osób pełniących funkcje fachowe.</w:t>
            </w:r>
          </w:p>
          <w:p w14:paraId="46B0D08B" w14:textId="77777777" w:rsidR="000453E5" w:rsidRPr="001941B0" w:rsidRDefault="000453E5" w:rsidP="006E0CB2">
            <w:pPr>
              <w:autoSpaceDE w:val="0"/>
              <w:autoSpaceDN w:val="0"/>
              <w:adjustRightInd w:val="0"/>
              <w:spacing w:after="0" w:line="240" w:lineRule="auto"/>
              <w:rPr>
                <w:rFonts w:cs="Calibri"/>
                <w:sz w:val="20"/>
                <w:szCs w:val="20"/>
              </w:rPr>
            </w:pPr>
            <w:r w:rsidRPr="001941B0">
              <w:rPr>
                <w:rFonts w:cs="Calibri"/>
                <w:sz w:val="20"/>
                <w:szCs w:val="20"/>
              </w:rPr>
              <w:t>W praktyce obserwowane są przypadki, w których rejestr RHF nie zawiera danych Osoby Odpowiedzialnej, zwłaszcza gdy podmiotem prowadzącym hurtownię jest spółka. Tymczasem zdecydowana większość hurtowni farmaceutycznych jest prowadzona właśnie w tej formie. Utrzymywanie takiej praktyki utrudnia nadzór publiczny i zawodowy, a także ogranicza możliwość weryfikacji w sposób prosty i szybki.</w:t>
            </w:r>
          </w:p>
          <w:p w14:paraId="083D4ADA" w14:textId="77777777" w:rsidR="000453E5" w:rsidRPr="001941B0" w:rsidRDefault="000453E5" w:rsidP="006E0CB2">
            <w:pPr>
              <w:autoSpaceDE w:val="0"/>
              <w:autoSpaceDN w:val="0"/>
              <w:adjustRightInd w:val="0"/>
              <w:spacing w:after="0" w:line="240" w:lineRule="auto"/>
              <w:rPr>
                <w:rFonts w:cs="Calibri"/>
                <w:sz w:val="20"/>
                <w:szCs w:val="20"/>
              </w:rPr>
            </w:pPr>
            <w:r w:rsidRPr="001941B0">
              <w:rPr>
                <w:rFonts w:cs="Calibri"/>
                <w:sz w:val="20"/>
                <w:szCs w:val="20"/>
              </w:rPr>
              <w:t>Jednocześnie Naczelna Rada Aptekarska wskazuje na zasadność ujednolicenia zakresu danych przewidzianych w art. 83 ust. 2 pkt 3 ustawy — Prawo farmaceutyczne, w brzmieniu zaproponowanym w niniejszym piśmie, z zakresem danych określonych w art. 75 ust. 1 pkt 7 ustawy — Prawo farmaceutyczne.</w:t>
            </w:r>
          </w:p>
          <w:p w14:paraId="29B23567" w14:textId="326D4551" w:rsidR="000453E5" w:rsidRPr="001941B0" w:rsidRDefault="000453E5" w:rsidP="006E0CB2">
            <w:pPr>
              <w:autoSpaceDE w:val="0"/>
              <w:autoSpaceDN w:val="0"/>
              <w:adjustRightInd w:val="0"/>
              <w:spacing w:after="0" w:line="240" w:lineRule="auto"/>
              <w:rPr>
                <w:rFonts w:eastAsiaTheme="minorEastAsia"/>
                <w:sz w:val="20"/>
                <w:szCs w:val="20"/>
              </w:rPr>
            </w:pPr>
            <w:r w:rsidRPr="001941B0">
              <w:rPr>
                <w:rFonts w:cs="Calibri"/>
                <w:sz w:val="20"/>
                <w:szCs w:val="20"/>
              </w:rPr>
              <w:t>Należy wskazać, że Naczelna Rada Aptekarska zgłaszała analogiczne uwagi w toku opiniowania projektu rozporządzenia Ministra Zdrowia zmieniającego rozporządzenie w sprawie wzoru wniosku o wydanie zezwolenia na prowadzenie hurtowni farmaceutycznej (nr w wykazie prac: MZ1784; pismo NIA L.dz. P-181/2025 z 1 sierpnia 2025 r.). Uwagi te nie zostały uwzględnione z przyczyn legislacyjnych (formalnych), bez kwestionowania ich zasadności merytorycznej. W konsekwencji zasadne jest rozstrzygnięcie zagadnienia na poziomie ustawowym w ramach przedmiotowego projektu.</w:t>
            </w:r>
          </w:p>
        </w:tc>
        <w:tc>
          <w:tcPr>
            <w:tcW w:w="2855" w:type="dxa"/>
            <w:shd w:val="clear" w:color="auto" w:fill="FFFFFF" w:themeFill="background1"/>
          </w:tcPr>
          <w:p w14:paraId="24D7CC25" w14:textId="2A191FD5" w:rsidR="00D37F28" w:rsidRPr="001941B0" w:rsidRDefault="000167F0" w:rsidP="006E0CB2">
            <w:pPr>
              <w:autoSpaceDE w:val="0"/>
              <w:autoSpaceDN w:val="0"/>
              <w:adjustRightInd w:val="0"/>
              <w:spacing w:after="0" w:line="240" w:lineRule="auto"/>
              <w:rPr>
                <w:rFonts w:eastAsiaTheme="minorEastAsia"/>
                <w:b/>
                <w:bCs/>
                <w:sz w:val="20"/>
                <w:szCs w:val="20"/>
              </w:rPr>
            </w:pPr>
            <w:r w:rsidRPr="001941B0">
              <w:rPr>
                <w:rFonts w:eastAsiaTheme="minorEastAsia"/>
                <w:b/>
                <w:sz w:val="20"/>
                <w:szCs w:val="20"/>
              </w:rPr>
              <w:lastRenderedPageBreak/>
              <w:t xml:space="preserve">Uwaga </w:t>
            </w:r>
            <w:r w:rsidR="00D37F28" w:rsidRPr="001941B0">
              <w:rPr>
                <w:rFonts w:eastAsiaTheme="minorEastAsia"/>
                <w:b/>
                <w:bCs/>
                <w:sz w:val="20"/>
                <w:szCs w:val="20"/>
              </w:rPr>
              <w:t>nieuwzględniona</w:t>
            </w:r>
          </w:p>
          <w:p w14:paraId="1F98F4E8" w14:textId="04F3FBEF" w:rsidR="000A50FB" w:rsidRPr="001941B0" w:rsidRDefault="00D37F2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P</w:t>
            </w:r>
            <w:r w:rsidR="000167F0" w:rsidRPr="001941B0">
              <w:rPr>
                <w:rFonts w:eastAsiaTheme="minorEastAsia"/>
                <w:sz w:val="20"/>
                <w:szCs w:val="20"/>
              </w:rPr>
              <w:t>oza zakresem projektowanej regulacji</w:t>
            </w:r>
            <w:r w:rsidRPr="001941B0">
              <w:rPr>
                <w:rFonts w:eastAsiaTheme="minorEastAsia"/>
                <w:sz w:val="20"/>
                <w:szCs w:val="20"/>
              </w:rPr>
              <w:t>.</w:t>
            </w:r>
          </w:p>
          <w:p w14:paraId="18A47CC1" w14:textId="77777777" w:rsidR="00364A54" w:rsidRPr="001941B0" w:rsidRDefault="00364A54" w:rsidP="006E0CB2">
            <w:pPr>
              <w:autoSpaceDE w:val="0"/>
              <w:autoSpaceDN w:val="0"/>
              <w:adjustRightInd w:val="0"/>
              <w:spacing w:after="0" w:line="240" w:lineRule="auto"/>
              <w:rPr>
                <w:rFonts w:eastAsiaTheme="minorEastAsia"/>
                <w:sz w:val="20"/>
                <w:szCs w:val="20"/>
              </w:rPr>
            </w:pPr>
          </w:p>
          <w:p w14:paraId="778FC35B" w14:textId="77777777" w:rsidR="00364A54" w:rsidRPr="001941B0" w:rsidRDefault="00364A54" w:rsidP="006E0CB2">
            <w:pPr>
              <w:autoSpaceDE w:val="0"/>
              <w:autoSpaceDN w:val="0"/>
              <w:adjustRightInd w:val="0"/>
              <w:spacing w:after="0" w:line="240" w:lineRule="auto"/>
              <w:rPr>
                <w:rFonts w:eastAsiaTheme="minorEastAsia"/>
                <w:sz w:val="20"/>
                <w:szCs w:val="20"/>
              </w:rPr>
            </w:pPr>
          </w:p>
          <w:p w14:paraId="34B781A4" w14:textId="27098A4F" w:rsidR="00A607C1" w:rsidRPr="001941B0" w:rsidRDefault="00A607C1" w:rsidP="006E0CB2">
            <w:pPr>
              <w:autoSpaceDE w:val="0"/>
              <w:autoSpaceDN w:val="0"/>
              <w:adjustRightInd w:val="0"/>
              <w:spacing w:after="0" w:line="240" w:lineRule="auto"/>
              <w:rPr>
                <w:rFonts w:eastAsiaTheme="minorEastAsia"/>
                <w:sz w:val="20"/>
                <w:szCs w:val="20"/>
              </w:rPr>
            </w:pPr>
          </w:p>
        </w:tc>
      </w:tr>
      <w:tr w:rsidR="00FC7212" w:rsidRPr="001941B0" w14:paraId="58DFE366" w14:textId="77777777" w:rsidTr="7139DBB9">
        <w:tc>
          <w:tcPr>
            <w:tcW w:w="1125" w:type="dxa"/>
            <w:shd w:val="clear" w:color="auto" w:fill="FFFFFF" w:themeFill="background1"/>
          </w:tcPr>
          <w:p w14:paraId="229F4345" w14:textId="77777777" w:rsidR="006D0E23" w:rsidRPr="001941B0" w:rsidRDefault="006D0E2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2E477B8" w14:textId="7FC60B28" w:rsidR="006D0E23" w:rsidRPr="001941B0" w:rsidRDefault="006D0E23"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21D1BCE4" w14:textId="7FA60F85" w:rsidR="006D0E23" w:rsidRPr="001941B0" w:rsidRDefault="006D0E23"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58D224A7" w14:textId="77777777" w:rsidR="0021740B" w:rsidRPr="001941B0" w:rsidRDefault="0021740B"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 xml:space="preserve">III. Doprecyzowanie regulacji prawnych dotyczących obowiązku uzyskania opinii właściwej okręgowej izby </w:t>
            </w:r>
            <w:r w:rsidRPr="001941B0">
              <w:rPr>
                <w:rFonts w:eastAsiaTheme="minorEastAsia"/>
                <w:b/>
                <w:bCs/>
                <w:sz w:val="20"/>
                <w:szCs w:val="20"/>
              </w:rPr>
              <w:lastRenderedPageBreak/>
              <w:t>aptekarskiej o Osobie Odpowiedzialnej również w przypadku zmiany na stanowisku.</w:t>
            </w:r>
          </w:p>
          <w:p w14:paraId="10D4EDFE" w14:textId="77777777" w:rsidR="0021740B"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Proponuje się w ustawie z dnia 6 września 2001 r. — Prawo farmaceutyczne (Dz. U. z 2025 r. poz. 750, 905, 924, 1416, 1537 i 1795) w art. 75 po ust. 2a dodać ust. 2b w brzmieniu:</w:t>
            </w:r>
          </w:p>
          <w:p w14:paraId="53BADC26" w14:textId="77777777" w:rsidR="0021740B"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„2b. Zmiana osoby pełniącej funkcję Osoby Odpowiedzialnej wymaga opinii właściwej okręgowej rady aptekarskiej, jeżeli jest ona członkiem izby aptekarskiej. Opinię wydaje się w terminie 14 dni od dnia doręczenia wniosku. Brak wydania opinii w powyższym terminie przez właściwą okręgową radę aptekarską uznaje się za brak zastrzeżeń.”.</w:t>
            </w:r>
          </w:p>
          <w:p w14:paraId="429C8475" w14:textId="77777777" w:rsidR="0021740B" w:rsidRPr="001941B0" w:rsidRDefault="0021740B"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29EBE184" w14:textId="6D75EE56" w:rsidR="0021740B"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Art. 75 ust. 2 pkt 3 ustawy - Prawo farmaceutyczne przewiduje obowiązek dołączenia do wniosku o udzielenie zezwolenia na obrót hurtowy opinii właściwej okręgowej izby aptekarskiej o Osobie Odpowiedzialnej. Umiejscowienie tego obowiązku w przepisach dotyczących wniosku o udzielnie zezwolenie powoduje w praktyce rozbieżności</w:t>
            </w:r>
            <w:r w:rsidR="009971C1" w:rsidRPr="001941B0">
              <w:rPr>
                <w:rFonts w:eastAsiaTheme="minorEastAsia"/>
                <w:sz w:val="20"/>
                <w:szCs w:val="20"/>
              </w:rPr>
              <w:t xml:space="preserve"> </w:t>
            </w:r>
            <w:r w:rsidRPr="001941B0">
              <w:rPr>
                <w:rFonts w:eastAsiaTheme="minorEastAsia"/>
                <w:sz w:val="20"/>
                <w:szCs w:val="20"/>
              </w:rPr>
              <w:t>interpretacyjne, czy opinia jest wymagana również przy każdorazowej zmianie Osoby Odpowiedzialnej w już działającej hurtowni farmaceutyc</w:t>
            </w:r>
            <w:r w:rsidR="009971C1" w:rsidRPr="001941B0">
              <w:rPr>
                <w:rFonts w:eastAsiaTheme="minorEastAsia"/>
                <w:sz w:val="20"/>
                <w:szCs w:val="20"/>
              </w:rPr>
              <w:t>zn</w:t>
            </w:r>
            <w:r w:rsidRPr="001941B0">
              <w:rPr>
                <w:rFonts w:eastAsiaTheme="minorEastAsia"/>
                <w:sz w:val="20"/>
                <w:szCs w:val="20"/>
              </w:rPr>
              <w:t>ej.</w:t>
            </w:r>
          </w:p>
          <w:p w14:paraId="59373E92" w14:textId="77777777" w:rsidR="0021740B"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Naczelna Rada Aptekarska wnosi o doprecyzowanie regulacji w sposób jednoznaczny, tak aby obowiązek posiadania opinii właściwej OIA dotyczył każdej osoby pełniącej funkcję Osoby Odpowiedzialnej, niezależnie od tego, czy jest to nowa hurtownia, czy jedynie zmiana osoby na stanowisku w hurtowni już istniejącej.</w:t>
            </w:r>
          </w:p>
          <w:p w14:paraId="37685B07" w14:textId="77777777" w:rsidR="0021740B"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ocenie Naczelnej Rady Aptekarskiej niezasadne jest różnicowanie standardu weryfikacji farmaceutów pełniących funkcję Osoby Odpowiedzialnej wyłącznie ze względu na moment jej objęcia (pierwsze zezwolenie vs. późniejsza zmiana). Prowadziłoby to do nierównego traktowania osób wykonujących zawód farmaceuty.</w:t>
            </w:r>
          </w:p>
          <w:p w14:paraId="3978FC47" w14:textId="37C081AA" w:rsidR="0021740B"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Opinia OIA o Osobie Odpowiedzialnej pełni funkcję analogiczną do mechaniz</w:t>
            </w:r>
            <w:r w:rsidR="005C03B0" w:rsidRPr="001941B0">
              <w:rPr>
                <w:rFonts w:eastAsiaTheme="minorEastAsia"/>
                <w:sz w:val="20"/>
                <w:szCs w:val="20"/>
              </w:rPr>
              <w:t>m</w:t>
            </w:r>
            <w:r w:rsidRPr="001941B0">
              <w:rPr>
                <w:rFonts w:eastAsiaTheme="minorEastAsia"/>
                <w:sz w:val="20"/>
                <w:szCs w:val="20"/>
              </w:rPr>
              <w:t xml:space="preserve">ów weryfikacyjnych odnoszących się do kierowników aptek. Nadrzędnym celem jest umożliwienie realizacji ustawowych zadań samorządu zawodowego, w tym sprawowania pieczy nad należytym </w:t>
            </w:r>
            <w:r w:rsidRPr="001941B0">
              <w:rPr>
                <w:rFonts w:eastAsiaTheme="minorEastAsia"/>
                <w:sz w:val="20"/>
                <w:szCs w:val="20"/>
              </w:rPr>
              <w:lastRenderedPageBreak/>
              <w:t>wykonywaniem zawodu i zapewnienia, że funkcje kluczowe z punktu widzenia bezpieczeństwa obrotu lekami sprawują osoby spełniające wymogi ustawowe.</w:t>
            </w:r>
          </w:p>
          <w:p w14:paraId="7172F65F" w14:textId="535D7CAA" w:rsidR="0021740B"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Zezwolenie na prowadzenie hurtowni farmaceutycznej jest </w:t>
            </w:r>
            <w:r w:rsidR="005C03B0" w:rsidRPr="001941B0">
              <w:rPr>
                <w:rFonts w:eastAsiaTheme="minorEastAsia"/>
                <w:sz w:val="20"/>
                <w:szCs w:val="20"/>
              </w:rPr>
              <w:t>wy</w:t>
            </w:r>
            <w:r w:rsidRPr="001941B0">
              <w:rPr>
                <w:rFonts w:eastAsiaTheme="minorEastAsia"/>
                <w:sz w:val="20"/>
                <w:szCs w:val="20"/>
              </w:rPr>
              <w:t xml:space="preserve">dawane w oparciu o spełnienie określonych kryteriów, w tym dotyczących personelu fachowego. Zmiana Osoby Odpowiedzialnej stanowi zmianę okoliczności istotnej dla nadzoru nad działalnością hurtowni i powinna wiązać się z obowiązkiem </w:t>
            </w:r>
            <w:r w:rsidR="00080CF8" w:rsidRPr="001941B0">
              <w:rPr>
                <w:rFonts w:eastAsiaTheme="minorEastAsia"/>
                <w:sz w:val="20"/>
                <w:szCs w:val="20"/>
              </w:rPr>
              <w:t>wy</w:t>
            </w:r>
            <w:r w:rsidRPr="001941B0">
              <w:rPr>
                <w:rFonts w:eastAsiaTheme="minorEastAsia"/>
                <w:sz w:val="20"/>
                <w:szCs w:val="20"/>
              </w:rPr>
              <w:t>kazania, że nowa osoba spełnia wymagania, w tym posiada wymaganą opinię właściwej okręgowej izby aptekarskiej o Osobie Odpowiedzialnej.</w:t>
            </w:r>
          </w:p>
          <w:p w14:paraId="064831A7" w14:textId="1DA93D15" w:rsidR="006D0E23" w:rsidRPr="001941B0" w:rsidRDefault="0021740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Ze względu na występujące rozbieżności w praktyce, doprecyzowanie przepisów na poziomie ustawowym pozwoli na ujednolicenie postępowania w skali kraju i wyeliminuje sytuacje, w których izby nie mają realnej informacji o osobach pełniących funkcję Osoby Odpowiedzialnej, a nadzór może mieć charakter wyłącznie formalny.</w:t>
            </w:r>
          </w:p>
        </w:tc>
        <w:tc>
          <w:tcPr>
            <w:tcW w:w="2855" w:type="dxa"/>
            <w:shd w:val="clear" w:color="auto" w:fill="FFFFFF" w:themeFill="background1"/>
          </w:tcPr>
          <w:p w14:paraId="6C6FAE28" w14:textId="6E74757C" w:rsidR="006D0E23" w:rsidRPr="001941B0" w:rsidRDefault="6A0393DF"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6281691B" w14:textId="64DC2649" w:rsidR="006D0E23" w:rsidRPr="001941B0" w:rsidRDefault="6A0393D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A67FEA" w:rsidRPr="001941B0">
              <w:rPr>
                <w:rFonts w:eastAsiaTheme="minorEastAsia"/>
                <w:sz w:val="20"/>
                <w:szCs w:val="20"/>
              </w:rPr>
              <w:t xml:space="preserve">projektowanej </w:t>
            </w:r>
            <w:r w:rsidRPr="001941B0">
              <w:rPr>
                <w:rFonts w:eastAsiaTheme="minorEastAsia"/>
                <w:sz w:val="20"/>
                <w:szCs w:val="20"/>
              </w:rPr>
              <w:t>regulacji.</w:t>
            </w:r>
          </w:p>
          <w:p w14:paraId="63833700" w14:textId="77777777" w:rsidR="008246E1" w:rsidRPr="001941B0" w:rsidRDefault="008246E1" w:rsidP="006E0CB2">
            <w:pPr>
              <w:autoSpaceDE w:val="0"/>
              <w:autoSpaceDN w:val="0"/>
              <w:adjustRightInd w:val="0"/>
              <w:spacing w:after="0" w:line="240" w:lineRule="auto"/>
              <w:rPr>
                <w:rFonts w:eastAsiaTheme="minorEastAsia"/>
                <w:sz w:val="20"/>
                <w:szCs w:val="20"/>
              </w:rPr>
            </w:pPr>
          </w:p>
          <w:p w14:paraId="34C61AAF" w14:textId="5C2EEA2E" w:rsidR="008246E1" w:rsidRPr="001941B0" w:rsidRDefault="008246E1" w:rsidP="006E0CB2">
            <w:pPr>
              <w:autoSpaceDE w:val="0"/>
              <w:autoSpaceDN w:val="0"/>
              <w:adjustRightInd w:val="0"/>
              <w:spacing w:after="0" w:line="240" w:lineRule="auto"/>
              <w:rPr>
                <w:rFonts w:eastAsiaTheme="minorEastAsia"/>
                <w:sz w:val="20"/>
                <w:szCs w:val="20"/>
              </w:rPr>
            </w:pPr>
          </w:p>
          <w:p w14:paraId="12DFA9F3" w14:textId="77777777" w:rsidR="00836A2D" w:rsidRPr="001941B0" w:rsidRDefault="00836A2D" w:rsidP="006E0CB2">
            <w:pPr>
              <w:autoSpaceDE w:val="0"/>
              <w:autoSpaceDN w:val="0"/>
              <w:adjustRightInd w:val="0"/>
              <w:spacing w:after="0" w:line="240" w:lineRule="auto"/>
              <w:rPr>
                <w:rFonts w:eastAsiaTheme="minorEastAsia"/>
                <w:sz w:val="20"/>
                <w:szCs w:val="20"/>
              </w:rPr>
            </w:pPr>
          </w:p>
          <w:p w14:paraId="3DAE23C1" w14:textId="4DC406BD" w:rsidR="006D0E23" w:rsidRPr="001941B0" w:rsidRDefault="006D0E23" w:rsidP="006E0CB2">
            <w:pPr>
              <w:autoSpaceDE w:val="0"/>
              <w:autoSpaceDN w:val="0"/>
              <w:adjustRightInd w:val="0"/>
              <w:spacing w:after="0" w:line="240" w:lineRule="auto"/>
              <w:rPr>
                <w:rFonts w:eastAsiaTheme="minorEastAsia"/>
                <w:sz w:val="20"/>
                <w:szCs w:val="20"/>
              </w:rPr>
            </w:pPr>
          </w:p>
          <w:p w14:paraId="1AA57756" w14:textId="4195EA99" w:rsidR="006D0E23" w:rsidRPr="001941B0" w:rsidRDefault="006D0E23" w:rsidP="006E0CB2">
            <w:pPr>
              <w:autoSpaceDE w:val="0"/>
              <w:autoSpaceDN w:val="0"/>
              <w:adjustRightInd w:val="0"/>
              <w:spacing w:after="0" w:line="240" w:lineRule="auto"/>
              <w:rPr>
                <w:rFonts w:eastAsiaTheme="minorEastAsia"/>
                <w:sz w:val="20"/>
                <w:szCs w:val="20"/>
              </w:rPr>
            </w:pPr>
          </w:p>
        </w:tc>
      </w:tr>
      <w:tr w:rsidR="00FC7212" w:rsidRPr="001941B0" w14:paraId="309001FA" w14:textId="77777777" w:rsidTr="7139DBB9">
        <w:tc>
          <w:tcPr>
            <w:tcW w:w="1125" w:type="dxa"/>
            <w:shd w:val="clear" w:color="auto" w:fill="FFFFFF" w:themeFill="background1"/>
          </w:tcPr>
          <w:p w14:paraId="3FD0078A"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ABDFD3F" w14:textId="12646E56"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55A911A2" w14:textId="303F6C6A"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360CBC32" w14:textId="77777777" w:rsidR="00707CDA" w:rsidRPr="001941B0" w:rsidRDefault="00707CD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219C8D60"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0DE87318"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299423AE"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1) zapewnią spójność w dokumentowaniu świadczeń farmaceutycznych w systemach e-zdrowia;</w:t>
            </w:r>
          </w:p>
          <w:p w14:paraId="33299A63"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5E148913"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54DB982F"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076A2DB3"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0F67F1B7" w14:textId="77777777" w:rsidR="00707CDA" w:rsidRPr="001941B0" w:rsidRDefault="00707CD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1. Ustawa o zawodzie farmaceuty.</w:t>
            </w:r>
          </w:p>
          <w:p w14:paraId="21B0AA1C"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10 grudnia 2020 r. o zawodzie farmaceuty (Dz. U. z 2024 r. poz. 676) wprowadza się następujące zmiany:</w:t>
            </w:r>
          </w:p>
          <w:p w14:paraId="117AC998" w14:textId="77777777" w:rsidR="00707CDA" w:rsidRPr="001941B0" w:rsidRDefault="00707CD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1) zmiana art. 4 ust. 1:</w:t>
            </w:r>
          </w:p>
          <w:p w14:paraId="2E948265"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w art. 4 w ust. I w pkt 4 na końcu kropkę zastępuje się średnikiem i dodaje się pkt 5 w brzmieniu:</w:t>
            </w:r>
          </w:p>
          <w:p w14:paraId="125B1CAF" w14:textId="77777777" w:rsidR="00707CDA" w:rsidRPr="001941B0" w:rsidRDefault="00707CD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„5) przeprowadzaniu szczepień ochronnych oraz wystawianiu recept na produkty immunologiczne niezbędne do przeprowadzenia zalecanych szczepień ochronnych, w rozumieniu przepisów ustawy z dnia 5 grudnia 2008 r. o zapobieganiu oraz zwalczaniu zakażeń i chorób zakaźnych u ludzi (Dz. U. z 2023 r. poz. 1284, z późn. zm.), a także udzielaniu innych świadczeń zdrowotnych w przypadkach określonych w przepisach odrębnych regulujących zasady ich wykonywania.”.</w:t>
            </w:r>
          </w:p>
          <w:p w14:paraId="76502162" w14:textId="77777777" w:rsidR="00F754B0" w:rsidRPr="001941B0" w:rsidRDefault="00F754B0"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52165316" w14:textId="7B1DAC80" w:rsidR="001776B8"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Zmiany porządkują i rozszerzają katalog czynności farmaceuty o szczepienia i związane z nimi recepty oraz inne świadczenia zdrowotne. Wprowadzają niezbędne uprawnienia informacyjne (dokumentacja/IKP) dla bezpieczeństwa </w:t>
            </w:r>
            <w:r w:rsidRPr="001941B0">
              <w:rPr>
                <w:rFonts w:eastAsiaTheme="minorEastAsia"/>
                <w:sz w:val="20"/>
                <w:szCs w:val="20"/>
              </w:rPr>
              <w:lastRenderedPageBreak/>
              <w:t>pacjenta i ciągłości opieki. Doprecyzowują podstawę prawną recept na produkty immunologiczne wraz z regułami odpłatności.</w:t>
            </w:r>
          </w:p>
        </w:tc>
        <w:tc>
          <w:tcPr>
            <w:tcW w:w="2855" w:type="dxa"/>
            <w:shd w:val="clear" w:color="auto" w:fill="FFFFFF" w:themeFill="background1"/>
          </w:tcPr>
          <w:p w14:paraId="032DF2A7" w14:textId="2B95DDF0" w:rsidR="001776B8" w:rsidRPr="001941B0" w:rsidRDefault="6DCE419C"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5945B2B2" w14:textId="75817BC2" w:rsidR="001776B8" w:rsidRPr="001941B0" w:rsidRDefault="6DCE419C"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A67FEA" w:rsidRPr="001941B0">
              <w:rPr>
                <w:rFonts w:eastAsiaTheme="minorEastAsia"/>
                <w:sz w:val="20"/>
                <w:szCs w:val="20"/>
              </w:rPr>
              <w:t xml:space="preserve">projektowanej </w:t>
            </w:r>
            <w:r w:rsidRPr="001941B0">
              <w:rPr>
                <w:rFonts w:eastAsiaTheme="minorEastAsia"/>
                <w:sz w:val="20"/>
                <w:szCs w:val="20"/>
              </w:rPr>
              <w:t>regulacji.</w:t>
            </w:r>
          </w:p>
          <w:p w14:paraId="3D7E47A9" w14:textId="00313499" w:rsidR="001776B8" w:rsidRPr="001941B0" w:rsidRDefault="001776B8" w:rsidP="002F57FE">
            <w:pPr>
              <w:autoSpaceDE w:val="0"/>
              <w:autoSpaceDN w:val="0"/>
              <w:adjustRightInd w:val="0"/>
              <w:spacing w:after="0" w:line="240" w:lineRule="auto"/>
              <w:rPr>
                <w:rFonts w:eastAsiaTheme="minorEastAsia"/>
                <w:sz w:val="20"/>
                <w:szCs w:val="20"/>
              </w:rPr>
            </w:pPr>
          </w:p>
        </w:tc>
      </w:tr>
      <w:tr w:rsidR="00FC7212" w:rsidRPr="001941B0" w14:paraId="2B489A30" w14:textId="77777777" w:rsidTr="7139DBB9">
        <w:tc>
          <w:tcPr>
            <w:tcW w:w="1125" w:type="dxa"/>
            <w:shd w:val="clear" w:color="auto" w:fill="FFFFFF" w:themeFill="background1"/>
          </w:tcPr>
          <w:p w14:paraId="1FA896A9"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1A885C6" w14:textId="69355017"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5920AF21" w14:textId="0C2EF235"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14146750" w14:textId="77777777" w:rsidR="00906A3A" w:rsidRPr="001941B0" w:rsidRDefault="00906A3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6DCC1FA8"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4AE767B1"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2A81CE4A"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50D3B051"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641FFF8C"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3A9B7BD2"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79E9F895"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Szczegółowe uzasadnienie proponowanych poniżej zmian zawarte zostało m. in. w pismach z dnia 23 stycznia 2026 r., L.dz. P-18/2026 oraz z dnia 26 stycznia 2026 r., L.dz.P22/2026, skierowanych do Pana Mateusza Oczkowskiego, Dyrektora </w:t>
            </w:r>
            <w:r w:rsidRPr="001941B0">
              <w:rPr>
                <w:rFonts w:eastAsiaTheme="minorEastAsia"/>
                <w:sz w:val="20"/>
                <w:szCs w:val="20"/>
              </w:rPr>
              <w:lastRenderedPageBreak/>
              <w:t>Departamentu Polityki Lekowej i Farmacji w Ministerstwie Zdrowia.</w:t>
            </w:r>
          </w:p>
          <w:p w14:paraId="1FF26F68" w14:textId="77777777" w:rsidR="00906A3A" w:rsidRPr="001941B0" w:rsidRDefault="00906A3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1. Ustawa o zawodzie farmaceuty.</w:t>
            </w:r>
          </w:p>
          <w:p w14:paraId="32A8A540"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10 grudnia 2020 r. o zawodzie farmaceuty (Dz. U. z 2024 r. poz. 676) wprowadza się następujące zmiany:</w:t>
            </w:r>
          </w:p>
          <w:p w14:paraId="0AD85222" w14:textId="77777777" w:rsidR="00906A3A" w:rsidRPr="001941B0" w:rsidRDefault="00906A3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2) dodanie art. 28a:</w:t>
            </w:r>
          </w:p>
          <w:p w14:paraId="27D39993"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po art. 28 dodaje się art. 28a w brzmieniu:</w:t>
            </w:r>
          </w:p>
          <w:p w14:paraId="7BB77138"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„Art. 28a.</w:t>
            </w:r>
          </w:p>
          <w:p w14:paraId="477F62DC"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Farmaceuta ma prawo wglądu do dokumentacji medycznej pacjenta oraz do uzyskania od podmiotu udzielającego świadczeń zdrowotnych pełnej informacji w rozumieniu przepisów ustawy z dnia 6 listopada 2008 r. o prawach pacjenta i Rzeczniku Praw Pacjenta (Dz. U. z 2022 r. poz. 1876, 2280 i 2705 oraz z 2023 r. poz. 605) o stanie zdrowia pacjenta, rozpoznaniu, proponowanych metodach diagnostycznych, leczniczych, rehabilitacyjnych, zapobiegawczych i dających się przewidzieć następstwach podejmowanych działań, w zakresie niezbędnym do udzielania świadczeń zdrowotnych przez farmaceutę.</w:t>
            </w:r>
          </w:p>
          <w:p w14:paraId="7D0072F3" w14:textId="77777777" w:rsidR="00906A3A" w:rsidRPr="001941B0" w:rsidRDefault="00906A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Farmaceuta ma prawo dostępu do danych dotyczących pacjenta przetwarzanych w Internetowym Koncie Pacjenta, o którym mowa w art. 2 pkt 19 ustawy z dnia 28 kwietnia 2011 r. o systemie informacji w ochronie zdrowia (Dz. U. z 2023 r. poz. 2465, z późn. zm.), w zakresie niezbędnym do udzielania świadczeń zdrowotnych przez farmaceutę.”.</w:t>
            </w:r>
          </w:p>
          <w:p w14:paraId="0D9B9B62" w14:textId="77777777" w:rsidR="00F754B0" w:rsidRPr="001941B0" w:rsidRDefault="00F754B0"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55EB79A7" w14:textId="25A4ACD6" w:rsidR="001776B8"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porządkują i rozszerzają katalog czynności farmaceuty o szczepienia i związane z nimi recepty oraz inne świadczenia zdrowotne. Wprowadzają niezbędne uprawnienia informacyjne (dokumentacja/IKP) dla bezpieczeństwa pacjenta i ciągłości opieki. Doprecyzowują podstawę prawną recept na produkty immunologiczne wraz z regułami odpłatności.</w:t>
            </w:r>
          </w:p>
        </w:tc>
        <w:tc>
          <w:tcPr>
            <w:tcW w:w="2855" w:type="dxa"/>
            <w:shd w:val="clear" w:color="auto" w:fill="FFFFFF" w:themeFill="background1"/>
          </w:tcPr>
          <w:p w14:paraId="35BF8B1B" w14:textId="583B8AB2" w:rsidR="001776B8" w:rsidRPr="001941B0" w:rsidRDefault="655DFBBD"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 xml:space="preserve">Uwaga nieuwzględniona </w:t>
            </w:r>
          </w:p>
          <w:p w14:paraId="3AC88942" w14:textId="4F8BA244" w:rsidR="001776B8" w:rsidRPr="001941B0" w:rsidRDefault="655DFBB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AB7372" w:rsidRPr="001941B0">
              <w:rPr>
                <w:rFonts w:eastAsiaTheme="minorEastAsia"/>
                <w:sz w:val="20"/>
                <w:szCs w:val="20"/>
              </w:rPr>
              <w:t xml:space="preserve">projektowanej </w:t>
            </w:r>
            <w:r w:rsidRPr="001941B0">
              <w:rPr>
                <w:rFonts w:eastAsiaTheme="minorEastAsia"/>
                <w:sz w:val="20"/>
                <w:szCs w:val="20"/>
              </w:rPr>
              <w:t>regulacji.</w:t>
            </w:r>
          </w:p>
          <w:p w14:paraId="45A6CE64" w14:textId="0EEB9981"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51746476" w14:textId="77777777" w:rsidTr="7139DBB9">
        <w:tc>
          <w:tcPr>
            <w:tcW w:w="1125" w:type="dxa"/>
            <w:shd w:val="clear" w:color="auto" w:fill="FFFFFF" w:themeFill="background1"/>
          </w:tcPr>
          <w:p w14:paraId="44B1A360"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DD57463" w14:textId="043084F3"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30DEE3FD" w14:textId="000E8A9D"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60163E78" w14:textId="77777777" w:rsidR="00F754B0" w:rsidRPr="001941B0" w:rsidRDefault="00F754B0"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5067797A"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2CAC2F23"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6499282E"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62A75E13"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49D0F849"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70D1EC3F"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40612406"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69AFCCD3" w14:textId="77777777" w:rsidR="00F754B0" w:rsidRPr="001941B0" w:rsidRDefault="00F754B0"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1. Ustawa o zawodzie farmaceuty.</w:t>
            </w:r>
          </w:p>
          <w:p w14:paraId="1851A1E8"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10 grudnia 2020 r. o zawodzie farmaceuty (Dz. U. z 2024 r. poz. 676) wprowadza się następujące zmiany:</w:t>
            </w:r>
          </w:p>
          <w:p w14:paraId="0EBD004D" w14:textId="77777777" w:rsidR="00F754B0" w:rsidRPr="001941B0" w:rsidRDefault="00F754B0"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3) dodanie art. 31a:</w:t>
            </w:r>
          </w:p>
          <w:p w14:paraId="03C1343C"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po art. 31 dodaje się art. 31a w brzmieniu:</w:t>
            </w:r>
          </w:p>
          <w:p w14:paraId="25FDA65C"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„Art. 31a.</w:t>
            </w:r>
          </w:p>
          <w:p w14:paraId="0EE3D29E"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Farmaceuta ma prawo do samodzielnego wystawienia recepty na produkt immunologiczny niezbędny do przeprowadzenia zalecanego szczepienia ochronnego w rozumieniu art. 19 ust. 1 ustawy z dnia 5 grudnia 2008 r. o zapobieganiu oraz zwalczaniu zakażeń i chorób zakaźnych u ludzi.</w:t>
            </w:r>
          </w:p>
          <w:p w14:paraId="5513BDE8"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Uprawnienie, o którym mowa w ust. 1, obejmuje również wstawianie recept osobom, o których mowa w art. 43, 43a i art. 44-46 ustawy z dnia 27 sierpnia 2004 r. o świadczeniach opieki zdrowotnej finansowanych ze środków publicznych, na zasadach określonych w tej ustawie oraz w ustawie z dnia 12 maja 2011 r. o refundacji leków, środków spożywczych specjalnego przeznaczenia żywieniowego oraz wyrobów medycznych (Dz. U. z 2022 r. poz. 463, 583 i 974), zwanej dalej „ustawą o refundacji”.</w:t>
            </w:r>
          </w:p>
          <w:p w14:paraId="71694432"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Farmaceuta wystawia receptę na zasadach określonych w art. 95b, art. 96a i art. 96b ustawy z dnia 6 września 2001 r. — Prawo farmaceutyczne.</w:t>
            </w:r>
          </w:p>
          <w:p w14:paraId="6E6A26FA"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4. W przypadku wstawiania recept na produkt immunologiczny określony w wykazach, o których mowa w art. 37 ustawy o refundacji, farmaceuta jest obowiązany do odnotowania na recepcie odpłatności, jeżeli produkt występuje w tych wykazach w co najmniej dwóch odpłatnościach, o których mowa w art. 6 ust. 2 ustawy o refundacji. </w:t>
            </w:r>
          </w:p>
          <w:p w14:paraId="7966258D"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5. Określenie odpłatności na recepcie w postaci elektronicznej może nastąpić przy wykorzystaniu narzędzia informatycznego, o którym mowa w art. 9b ustawy z dnia 28 kwietnia 2011 r. o systemie informacji w ochronie zdrowia.</w:t>
            </w:r>
          </w:p>
          <w:p w14:paraId="5EBB7F3E" w14:textId="77777777" w:rsidR="00F754B0"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6. Farmaceuta oraz świadczeniodawca lub apteka nie ponoszą odpowiedzialności za skutki błędnego działania narzędzia informatycznego, o którym mowa w art. 9b ustawy z dnia 28 kwietnia 2011 r. o systemie informacji w ochronie zdrowia, polegającego na nieprawidłowym określeniu odpłatności w związku z rozbieżnością danych zawartych w </w:t>
            </w:r>
            <w:r w:rsidRPr="001941B0">
              <w:rPr>
                <w:rFonts w:eastAsiaTheme="minorEastAsia"/>
                <w:sz w:val="20"/>
                <w:szCs w:val="20"/>
              </w:rPr>
              <w:lastRenderedPageBreak/>
              <w:t>narzędziu a przepisami prawa, w szczególności z wykazami, o których mowa w art. 37 ust. 1 ustawy o refundacji.”.</w:t>
            </w:r>
          </w:p>
          <w:p w14:paraId="5A0D5273" w14:textId="77777777" w:rsidR="00F754B0" w:rsidRPr="001941B0" w:rsidRDefault="00F754B0"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71DD3BA5" w14:textId="7148A8BF" w:rsidR="001776B8" w:rsidRPr="001941B0" w:rsidRDefault="00F754B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porządkują i rozszerzają katalog czynności farmaceuty o szczepienia i związane z nimi recepty oraz inne świadczenia zdrowotne. Wprowadzają niezbędne uprawnienia informacyjne (dokumentacja/IKP) dla bezpieczeństwa pacjenta i ciągłości opieki. Doprecyzowują podstawę prawną recept na produkty immunologiczne wraz z regułami odpłatności.</w:t>
            </w:r>
          </w:p>
        </w:tc>
        <w:tc>
          <w:tcPr>
            <w:tcW w:w="2855" w:type="dxa"/>
            <w:shd w:val="clear" w:color="auto" w:fill="FFFFFF" w:themeFill="background1"/>
          </w:tcPr>
          <w:p w14:paraId="0794C111" w14:textId="0C0EDFDA" w:rsidR="001776B8" w:rsidRPr="001941B0" w:rsidRDefault="7C390CAD"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52D9FF49" w14:textId="4F7B8E17" w:rsidR="001776B8" w:rsidRPr="001941B0" w:rsidRDefault="7C390CA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AB7372" w:rsidRPr="001941B0">
              <w:rPr>
                <w:rFonts w:eastAsiaTheme="minorEastAsia"/>
                <w:sz w:val="20"/>
                <w:szCs w:val="20"/>
              </w:rPr>
              <w:t xml:space="preserve">projektowanej </w:t>
            </w:r>
            <w:r w:rsidRPr="001941B0">
              <w:rPr>
                <w:rFonts w:eastAsiaTheme="minorEastAsia"/>
                <w:sz w:val="20"/>
                <w:szCs w:val="20"/>
              </w:rPr>
              <w:t>regulacji.</w:t>
            </w:r>
          </w:p>
          <w:p w14:paraId="4F4627DF" w14:textId="4CB517C1"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6C95B726" w14:textId="77777777" w:rsidTr="7139DBB9">
        <w:tc>
          <w:tcPr>
            <w:tcW w:w="1125" w:type="dxa"/>
            <w:shd w:val="clear" w:color="auto" w:fill="FFFFFF" w:themeFill="background1"/>
          </w:tcPr>
          <w:p w14:paraId="793EE386"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CAB71A7" w14:textId="5DB58C77"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58341C1C" w14:textId="48E854B8"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0870006C" w14:textId="77777777" w:rsidR="00D01CF9" w:rsidRPr="001941B0" w:rsidRDefault="00D01CF9"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4BCCE196"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0DF713BB"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5ABCB769"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14D5261E"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502400C0"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103D93E7"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Niezależnie od propozycji wskazanych w pkt I - III, Naczelna Rada Aptekarska proponuje zatem wprowadzenie poniższych zmian regulacji prawnych:</w:t>
            </w:r>
          </w:p>
          <w:p w14:paraId="255FC9B4"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66C9CE7D" w14:textId="77777777" w:rsidR="00D01CF9" w:rsidRPr="001941B0" w:rsidRDefault="00D01CF9"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2. Ustawa o systemie informacji w ochronie zdrowia.</w:t>
            </w:r>
          </w:p>
          <w:p w14:paraId="670371EA"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28 kwietnia 2011 r. o systemie informacji w ochronie zdrowia (Dz. U. z 2023 r. poz. 2465, z późn. zm.) w art. 35 ust. 1 po pkt 3 dodaje się pkt 3a w brzmieniu:</w:t>
            </w:r>
          </w:p>
          <w:p w14:paraId="0A361C6A" w14:textId="77777777" w:rsidR="00D01CF9"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„3a) farmaceuta udzielający usługobiorcy świadczeń opieki zdrowotnej w ramach sprawowania opieki farmaceutycznej, o której mowa w art. 4 ust. 2 ustawy z dnia 10 grudnia 2020 r. o zawodzie farmaceuty, przeprowadzania szczepienia ochronnego zgodnie z przepisami ustawy z dnia 5 grudnia 2008 r. o zapobieganiu oraz zwalczaniu zakażeń i chorób zakaźnych u ludzi, realizowania programów polityki zdrowotnej, programów zdrowotnych oraz programów pilotażowe, w rozumieniu przepisów ustawy z dnia 27 sierpnia 2004 r. o świadczeniach opieki zdrowotnej finansowanych ze środków publicznych oraz udzielający innych świadczeń opieki zdrowotnej określonych w przepisach odrębnej ustawy;”.</w:t>
            </w:r>
          </w:p>
          <w:p w14:paraId="58ECD264" w14:textId="77777777" w:rsidR="00D01CF9" w:rsidRPr="001941B0" w:rsidRDefault="00D01CF9"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62275588" w14:textId="0690D4A7" w:rsidR="001776B8" w:rsidRPr="001941B0" w:rsidRDefault="00D01CF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Zmiana zapewnia farmaceutom podstawę prawną dostępu do danych medycznych w SIM w zakresie koniecznym do realizacji świadczeń, w tym szczepień i programów zdrowotnych. Jest to warunek bezpiecznego doboru interwencji, unikania przeciwwskazań oraz koordynacji opieki.</w:t>
            </w:r>
          </w:p>
        </w:tc>
        <w:tc>
          <w:tcPr>
            <w:tcW w:w="2855" w:type="dxa"/>
            <w:shd w:val="clear" w:color="auto" w:fill="FFFFFF" w:themeFill="background1"/>
          </w:tcPr>
          <w:p w14:paraId="56F7BE7A" w14:textId="0B1C4731" w:rsidR="001776B8" w:rsidRPr="001941B0" w:rsidRDefault="4C0B2ADC"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42E012E7" w14:textId="522FEFA9" w:rsidR="001776B8" w:rsidRPr="001941B0" w:rsidRDefault="4C0B2ADC"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AB7372" w:rsidRPr="001941B0">
              <w:rPr>
                <w:rFonts w:eastAsiaTheme="minorEastAsia"/>
                <w:sz w:val="20"/>
                <w:szCs w:val="20"/>
              </w:rPr>
              <w:t xml:space="preserve">projektowanej </w:t>
            </w:r>
            <w:r w:rsidRPr="001941B0">
              <w:rPr>
                <w:rFonts w:eastAsiaTheme="minorEastAsia"/>
                <w:sz w:val="20"/>
                <w:szCs w:val="20"/>
              </w:rPr>
              <w:t>regulacji.</w:t>
            </w:r>
          </w:p>
          <w:p w14:paraId="1A0929CF" w14:textId="4A3EB214"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203A3D2E" w14:textId="77777777" w:rsidTr="7139DBB9">
        <w:tc>
          <w:tcPr>
            <w:tcW w:w="1125" w:type="dxa"/>
            <w:shd w:val="clear" w:color="auto" w:fill="FFFFFF" w:themeFill="background1"/>
          </w:tcPr>
          <w:p w14:paraId="223DE165"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AFCAF44" w14:textId="154C49BD"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0ADC99CD" w14:textId="1406ECB7"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67C74735" w14:textId="77777777" w:rsidR="006D4457" w:rsidRPr="001941B0" w:rsidRDefault="006D4457"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6303BABB"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w:t>
            </w:r>
            <w:r w:rsidRPr="001941B0">
              <w:rPr>
                <w:rFonts w:eastAsiaTheme="minorEastAsia"/>
                <w:sz w:val="20"/>
                <w:szCs w:val="20"/>
              </w:rPr>
              <w:lastRenderedPageBreak/>
              <w:t xml:space="preserve">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211F8927"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51DD6240"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350F1D39"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1FE0E3BC"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118D567A"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763B3C1E"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597E34C5" w14:textId="77777777" w:rsidR="006D4457" w:rsidRPr="001941B0" w:rsidRDefault="006D4457"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3. Prawo farmaceutyczne.</w:t>
            </w:r>
          </w:p>
          <w:p w14:paraId="59BB5CBB"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6 września 2001 r. — Prawo farmaceutyczne (Dz. U. z 2021 r. poz. 974 i 981) wprowadza się następujące zmiany:</w:t>
            </w:r>
          </w:p>
          <w:p w14:paraId="03E152BF" w14:textId="77777777" w:rsidR="006D4457" w:rsidRPr="001941B0" w:rsidRDefault="006D4457"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1) zmiany w art. 86:</w:t>
            </w:r>
          </w:p>
          <w:p w14:paraId="76301092"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 ust. 8a otrzymuje brzmienie:</w:t>
            </w:r>
          </w:p>
          <w:p w14:paraId="2CF8B12B"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„8a. W aptekach ogólnodostępnych spełniających wymagania do prowadzenia opieki farmaceutycznej, określone w przepisach wydanych na podstawie art. 97 ust. 5 i art. 98 ust. 5, poza świadczeniami zdrowotnymi w ramach sprawowania opieki farmaceutycznej, o której mowa w art. 4 ust. 2 ustawy z dnia 10 grudnia 2020 r. o zawodzie farmaceuty, mogą być:</w:t>
            </w:r>
          </w:p>
          <w:p w14:paraId="5BB18979"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przeprowadzane szczepienia ochronne zgodnie z przepisami ustawy z dnia 5 grudnia 2008 r. o zapobieganiu oraz zwalczaniu zakażeń i chorób zakaźnych u ludzi;</w:t>
            </w:r>
          </w:p>
          <w:p w14:paraId="44F3D267"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realizowane programy polityki zdrowotnej, programy zdrowotne oraz programy pilotażowe, w rozumieniu przepisów ustawy z dnia 27 sierpnia 2004 r. o świadczeniach opieki zdrowotnej finansowanych ze środków publicznych;</w:t>
            </w:r>
          </w:p>
          <w:p w14:paraId="58DBA563"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udzielane inne świadczenia opieki zdrowotnej w rozumieniu art. 5 pkt 34 ustawy z dnia 27 sierpnia 2004 r. o świadczeniach opieki zdrowotnej finansowanych ze środków publicznych (Dz. U. z 2024 r. poz. 146), określone w wykazie, o którym mowa w ust. 8h pkt 1.”;</w:t>
            </w:r>
          </w:p>
          <w:p w14:paraId="7D64BD59"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b) po ust. 8a dodaje się ust. 8b-8h w brzmieniu:</w:t>
            </w:r>
          </w:p>
          <w:p w14:paraId="1CC0FF3D"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„8b. Udzielanie w aptece ogólnodostępnej świadczeń zdrowotnych w ramach sprawowania opieki farmaceutycznej oraz świadczeń zdrowotnych, o których mowa w ust. 8a i ust. 8h, nie stanowi działalności leczniczej w rozumieniu art. 3 ust. 1 i 2 ustawy z dnia 15 kwietnia 2011 r. o działalności leczniczej.</w:t>
            </w:r>
          </w:p>
          <w:p w14:paraId="330C7D09"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8c. Podmiot prowadzący aptekę udzielający w aptece ogólnodostępnej świadczeń opieki zdrowotnej:</w:t>
            </w:r>
          </w:p>
          <w:p w14:paraId="01258CC1"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określa profil medyczny i zakres świadczeń opieki zdrowotnych wykonywanych w aptece, stosując kody stanowiące części IX i X systemu resortowych kodów identyfikacyjnych, określone w przepisach wydanych na podstawie art. 105 ust. 5 ustawy z dnia 15 kwietnia 2011 r. o działalności leczniczej;</w:t>
            </w:r>
          </w:p>
          <w:p w14:paraId="18956A5C"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2) przekazuje do właściwego miejscowo wojewódzkiego inspektora farmaceutycznego informację o rozpoczęciu albo zakończeniu udzielania świadczeń opieki zdrowotnej, zawierającą określenie profilu medycznego i zakresu świadczeń opieki zdrowotnej wykonywanych w aptece, </w:t>
            </w:r>
            <w:r w:rsidRPr="001941B0">
              <w:rPr>
                <w:rFonts w:eastAsiaTheme="minorEastAsia"/>
                <w:sz w:val="20"/>
                <w:szCs w:val="20"/>
              </w:rPr>
              <w:lastRenderedPageBreak/>
              <w:t>niezwłocznie po rozpoczęciu, zmianie zakresu lub zakończeniu udzielania tych świadczeń.</w:t>
            </w:r>
          </w:p>
          <w:p w14:paraId="371DFF46"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8d. Podmiot prowadzący aptekę udzielający w aptece ogólnodostępnej świadczeń opieki zdrowotnej zobowiązany jest zawrzeć umowę ubezpieczenia odpowiedzialności cywilnej obejmującej szkody będące następstwem udzielania świadczeń zdrowotnych albo niezgodnego z prawem zaniechania udzielania świadczeń zdrowotnych.</w:t>
            </w:r>
          </w:p>
          <w:p w14:paraId="14D6FA16"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8e. Przepis ust. 8d nie narusza przepisów art. 120 ustawy z dnia 26 czerwca 1974 r. — Kodeks pracy.</w:t>
            </w:r>
          </w:p>
          <w:p w14:paraId="1644CB1A"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8f. Obowiązek ubezpieczenia, o którym mowa w ust. 8d, powstaje najpóźniej w dniu poprzedzającym dzień rozpoczęcia udzielania świadczeń opieki zdrowotnej w aptece.</w:t>
            </w:r>
          </w:p>
          <w:p w14:paraId="68306542"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8g. Minister właściwy do spraw instytucji finansowych w porozumieniu z ministrem właściwym do spraw zdrowia, po zasięgnięciu opinii Naczelnej Rady Aptekarskiej, określi, w drodze rozporządzenia, szczegółowy zakres ubezpieczenia obowiązkowego, o którym mowa w ust. 8d, oraz minimalną sumę gwarancyjną, biorąc pod uwagę zakresy świadczeń opieki zdrowotnej udzielanych w aptece.</w:t>
            </w:r>
          </w:p>
          <w:p w14:paraId="23A97363"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8h. Minister właściwy do spraw zdrowia może określić, w drodze rozporządzenia:</w:t>
            </w:r>
          </w:p>
          <w:p w14:paraId="36BC71B6"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wykaz świadczeń opieki zdrowotnych innych niż świadczenia zdrowotne w ramach sprawowania opieki farmaceutycznej oraz świadczenia zdrowotne, o których mowa w ust. 8a pkt 1 i 2, które mogą być udzielane w aptece ogólnodostępnej;</w:t>
            </w:r>
          </w:p>
          <w:p w14:paraId="7663174D" w14:textId="77777777" w:rsidR="006D4457" w:rsidRPr="001941B0" w:rsidRDefault="006D445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warunki realizacji danego świadczenia opieki zdrowotnej, w tym dotyczące personelu medycznego i wyposażenia w sprzęt i aparaturę medyczną, mając na uwadze konieczność zapewnienia wysokiej jakości świadczeń opieki zdrowotnej oraz właściwego zabezpieczenia tych świadczeń.”;</w:t>
            </w:r>
          </w:p>
          <w:p w14:paraId="1987449A" w14:textId="77777777" w:rsidR="004D7C50" w:rsidRPr="001941B0" w:rsidRDefault="004D7C50"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4C04F5A2" w14:textId="755F7F64" w:rsidR="001776B8" w:rsidRPr="001941B0" w:rsidRDefault="004D7C5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Zmiany jednoznacznie określają dopuszczalny zakres świadczeń zdrowotnych realizowanych w aptece oraz porządkują ich status (bez kwalifikowania jako działalności leczniczej). Wprowadzają minimalne instrumenty nadzoru i </w:t>
            </w:r>
            <w:r w:rsidRPr="001941B0">
              <w:rPr>
                <w:rFonts w:eastAsiaTheme="minorEastAsia"/>
                <w:sz w:val="20"/>
                <w:szCs w:val="20"/>
              </w:rPr>
              <w:lastRenderedPageBreak/>
              <w:t>bezpieczeństwa (profil świadczeń, obowiązek informacyjny wobec WIF, OC). Umożliwiają elastyczne rozszerzanie katalogu świadczeń w drodze rozporządzenia MZ</w:t>
            </w:r>
          </w:p>
        </w:tc>
        <w:tc>
          <w:tcPr>
            <w:tcW w:w="2855" w:type="dxa"/>
            <w:shd w:val="clear" w:color="auto" w:fill="FFFFFF" w:themeFill="background1"/>
          </w:tcPr>
          <w:p w14:paraId="3756CD13" w14:textId="56E3E51C" w:rsidR="001776B8" w:rsidRPr="001941B0" w:rsidRDefault="74ACE3B7"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 xml:space="preserve">Uwaga nieuwzględniona </w:t>
            </w:r>
          </w:p>
          <w:p w14:paraId="2118678D" w14:textId="75814CBE" w:rsidR="001776B8" w:rsidRPr="001941B0" w:rsidRDefault="74ACE3B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AB7372" w:rsidRPr="001941B0">
              <w:rPr>
                <w:rFonts w:eastAsiaTheme="minorEastAsia"/>
                <w:sz w:val="20"/>
                <w:szCs w:val="20"/>
              </w:rPr>
              <w:t xml:space="preserve">projektowanej </w:t>
            </w:r>
            <w:r w:rsidRPr="001941B0">
              <w:rPr>
                <w:rFonts w:eastAsiaTheme="minorEastAsia"/>
                <w:sz w:val="20"/>
                <w:szCs w:val="20"/>
              </w:rPr>
              <w:t>regulacji.</w:t>
            </w:r>
          </w:p>
          <w:p w14:paraId="75502F79"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7017BFBC" w14:textId="77777777" w:rsidTr="7139DBB9">
        <w:tc>
          <w:tcPr>
            <w:tcW w:w="1125" w:type="dxa"/>
            <w:shd w:val="clear" w:color="auto" w:fill="FFFFFF" w:themeFill="background1"/>
          </w:tcPr>
          <w:p w14:paraId="7549C9E0"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AD2911C" w14:textId="10A7BAE6"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6B15A707" w14:textId="68B3EFBC"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5897ADA8" w14:textId="77777777" w:rsidR="003E4432" w:rsidRPr="001941B0" w:rsidRDefault="003E4432"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4DEDE0C5"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39D4BE22"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318EECA7"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53199563"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1784E530"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60591D54"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55C716E0"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Szczegółowe uzasadnienie proponowanych poniżej zmian zawarte zostało m. in. w pismach z dnia 23 stycznia 2026 r., L.dz. P-18/2026 oraz z dnia 26 stycznia 2026 r., L.dz.P22/2026, skierowanych do Pana Mateusza Oczkowskiego, Dyrektora </w:t>
            </w:r>
            <w:r w:rsidRPr="001941B0">
              <w:rPr>
                <w:rFonts w:eastAsiaTheme="minorEastAsia"/>
                <w:sz w:val="20"/>
                <w:szCs w:val="20"/>
              </w:rPr>
              <w:lastRenderedPageBreak/>
              <w:t>Departamentu Polityki Lekowej i Farmacji w Ministerstwie Zdrowia.</w:t>
            </w:r>
          </w:p>
          <w:p w14:paraId="51C576C6" w14:textId="77777777" w:rsidR="003E4432" w:rsidRPr="001941B0" w:rsidRDefault="003E4432"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3. Prawo farmaceutyczne.</w:t>
            </w:r>
          </w:p>
          <w:p w14:paraId="1F6A7D3F"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6 września 2001 r. — Prawo farmaceutyczne (Dz. U. z 2021 r. poz. 974 i 981) wprowadza się następujące zmiany:</w:t>
            </w:r>
          </w:p>
          <w:p w14:paraId="5353A244" w14:textId="77777777" w:rsidR="003E4432" w:rsidRPr="001941B0" w:rsidRDefault="003E4432"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2) zmiana w art. 107 ust. 2:</w:t>
            </w:r>
          </w:p>
          <w:p w14:paraId="4A84F660"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w art. 107 ust. 2 po pkt 5 dodaje się pkt 5a w brzmieniu:</w:t>
            </w:r>
          </w:p>
          <w:p w14:paraId="69EC9B63" w14:textId="77777777" w:rsidR="003E4432"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„5a) określenie profilu medycznego i zakresu świadczeń opieki zdrowotnych wykonywanych w aptece, z zastosowaniem kodów stanowiących części IX i X systemu resortowych kodów identyfikacyjnych, określonych w przepisach wydanych na podstawie art. 105 ust. 5 ustawy z dnia 15 kwietnia 2011 r. o działalności leczniczej;”.</w:t>
            </w:r>
          </w:p>
          <w:p w14:paraId="35120EFD" w14:textId="77777777" w:rsidR="003E4432" w:rsidRPr="001941B0" w:rsidRDefault="003E4432"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38B598CD" w14:textId="4C213C5C" w:rsidR="001776B8" w:rsidRPr="001941B0" w:rsidRDefault="003E443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jednoznacznie określają dopuszczalny zakres świadczeń zdrowotnych realizowanych w aptece oraz porządkują ich status (bez kwalifikowania jako działalności leczniczej). Wprowadzają minimalne instrumenty nadzoru i bezpieczeństwa (profil świadczeń, obowiązek informacyjny wobec WIF, OC). Umożliwiają elastyczne rozszerzanie katalogu świadczeń w drodze rozporządzenia MZ</w:t>
            </w:r>
          </w:p>
        </w:tc>
        <w:tc>
          <w:tcPr>
            <w:tcW w:w="2855" w:type="dxa"/>
            <w:shd w:val="clear" w:color="auto" w:fill="FFFFFF" w:themeFill="background1"/>
          </w:tcPr>
          <w:p w14:paraId="643300EA" w14:textId="50591BF8" w:rsidR="001776B8" w:rsidRPr="001941B0" w:rsidRDefault="05F480B7"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78E4FCEA" w14:textId="6E7715F0" w:rsidR="001776B8" w:rsidRPr="001941B0" w:rsidRDefault="05F480B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831D6C" w:rsidRPr="001941B0">
              <w:rPr>
                <w:rFonts w:eastAsiaTheme="minorEastAsia"/>
                <w:sz w:val="20"/>
                <w:szCs w:val="20"/>
              </w:rPr>
              <w:t xml:space="preserve">projektowanej </w:t>
            </w:r>
            <w:r w:rsidRPr="001941B0">
              <w:rPr>
                <w:rFonts w:eastAsiaTheme="minorEastAsia"/>
                <w:sz w:val="20"/>
                <w:szCs w:val="20"/>
              </w:rPr>
              <w:t>regulacji.</w:t>
            </w:r>
          </w:p>
          <w:p w14:paraId="29B3C19F" w14:textId="183025A0"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09D74183" w14:textId="77777777" w:rsidTr="7139DBB9">
        <w:tc>
          <w:tcPr>
            <w:tcW w:w="1125" w:type="dxa"/>
            <w:shd w:val="clear" w:color="auto" w:fill="FFFFFF" w:themeFill="background1"/>
          </w:tcPr>
          <w:p w14:paraId="3CA7D234"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D37ECEF" w14:textId="2CBD693D"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358950B6" w14:textId="5A00F588"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2EA51B6E" w14:textId="77777777" w:rsidR="005C05FF" w:rsidRPr="001941B0" w:rsidRDefault="005C05FF"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0F1A0808"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74B2CFCE"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praktyce systemy apteczne umożliwiają tworzenie komentarzy/uzupełnień do recept farmaceutycznych, jednak status prawny takich zapisów bywa kwestionowany jako nieznajdujący oparcia w obowiązujących przepisach prawa. Tymczasem w innych obszarach systemu ochrony zdrowia </w:t>
            </w:r>
            <w:r w:rsidRPr="001941B0">
              <w:rPr>
                <w:rFonts w:eastAsiaTheme="minorEastAsia"/>
                <w:sz w:val="20"/>
                <w:szCs w:val="20"/>
              </w:rPr>
              <w:lastRenderedPageBreak/>
              <w:t>istnieje możliwość wytwarzania dodatkowej dokumentacji medycznej przez osoby udzielające świadczeń (np. epikryza). W ocenie NRA wskazane jest rozważenie stworzenia rozwiązań prawnych, które:</w:t>
            </w:r>
          </w:p>
          <w:p w14:paraId="0ADAF4D2"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0CEECDD2"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405AA73D"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70CEA09B"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41F44528"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530DEA45" w14:textId="77777777" w:rsidR="005C05FF" w:rsidRPr="001941B0" w:rsidRDefault="005C05FF"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4. Ustawa o świadczeniach opieki zdrowotnej finansowanych ze środków publicznych.</w:t>
            </w:r>
          </w:p>
          <w:p w14:paraId="57E131A1"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27 sierpnia 2004 r. o świadczeniach opieki zdrowotnej finansowanych ze środków publicznych wprowadza się następujące zmiany:</w:t>
            </w:r>
          </w:p>
          <w:p w14:paraId="7539E226" w14:textId="77777777" w:rsidR="005C05FF" w:rsidRPr="001941B0" w:rsidRDefault="005C05FF"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1) zmiany w art. 5:</w:t>
            </w:r>
          </w:p>
          <w:p w14:paraId="48A5C4E3"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 po pkt 18 dodaje się pkt 18a w brzmieniu:</w:t>
            </w:r>
          </w:p>
          <w:p w14:paraId="1A7F26B0" w14:textId="77777777"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„18a) opieka farmaceutyczna — opiekę farmaceutyczną w rozumieniu art. 4 ust. 2 ustawy z dnia 10 grudnia 2020 r. o zawodzie farmaceuty;”;</w:t>
            </w:r>
          </w:p>
          <w:p w14:paraId="1AFBE8D5" w14:textId="7DD62BFC" w:rsidR="005C05FF" w:rsidRPr="001941B0" w:rsidRDefault="005C05F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 w pkt 41 w lit. e średnik zastępuje się przecinkiem i dodaje się lit. f w brzmieniu: „f) podmiot prowadzący aptekę ogólnodostępną, w której przeprowadzane są szczepienia ochronne, realizowane są programy polityki zdrowotnej, zdrowotne lub pilotażowe lub udzielane są inne świadczenia opieki zdrowotnej, które mogą być udzielane w aptece, </w:t>
            </w:r>
            <w:r w:rsidRPr="001941B0">
              <w:rPr>
                <w:rFonts w:eastAsiaTheme="minorEastAsia"/>
                <w:sz w:val="20"/>
                <w:szCs w:val="20"/>
              </w:rPr>
              <w:lastRenderedPageBreak/>
              <w:t>określone w przepisach wydanych na podstawie art. 86 ust. 8h ustawy z dnia 6 września 2001 r. — Prawo farmaceutyczne;”.</w:t>
            </w:r>
          </w:p>
          <w:p w14:paraId="7F56A40C"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6FEA1F52" w14:textId="7DD08240" w:rsidR="001776B8"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tworzą podstawę do uznania opieki farmaceutycznej i świadczeń farmaceutów za świadczenia gwarantowane oraz do ich finansowania ze środków publicznych. Ustalenie szczególnego trybu kontraktowania ma zapewnić powszechną dostępność świadczeń, przy jednoczesnym oparciu wymagań na regulacjach Prawa farmaceutycznego. Przepisy porządkują też ścieżkę kwalifikacji świadczeń (AOTMiT/MZ) po dodaniu nowego zakresu.</w:t>
            </w:r>
          </w:p>
        </w:tc>
        <w:tc>
          <w:tcPr>
            <w:tcW w:w="2855" w:type="dxa"/>
            <w:shd w:val="clear" w:color="auto" w:fill="FFFFFF" w:themeFill="background1"/>
          </w:tcPr>
          <w:p w14:paraId="277074E7" w14:textId="70564298" w:rsidR="006762CC" w:rsidRPr="001941B0" w:rsidRDefault="006762CC" w:rsidP="006762CC">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2041831C" w14:textId="286C8490" w:rsidR="006762CC" w:rsidRPr="001941B0" w:rsidRDefault="006762CC" w:rsidP="006762CC">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390777" w:rsidRPr="001941B0">
              <w:rPr>
                <w:rFonts w:eastAsiaTheme="minorEastAsia"/>
                <w:sz w:val="20"/>
                <w:szCs w:val="20"/>
              </w:rPr>
              <w:t xml:space="preserve">projektowanej </w:t>
            </w:r>
            <w:r w:rsidRPr="001941B0">
              <w:rPr>
                <w:rFonts w:eastAsiaTheme="minorEastAsia"/>
                <w:sz w:val="20"/>
                <w:szCs w:val="20"/>
              </w:rPr>
              <w:t>regulacji.</w:t>
            </w:r>
          </w:p>
          <w:p w14:paraId="03C07864"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1F6A3E43" w14:textId="77777777" w:rsidTr="7139DBB9">
        <w:tc>
          <w:tcPr>
            <w:tcW w:w="1125" w:type="dxa"/>
            <w:shd w:val="clear" w:color="auto" w:fill="FFFFFF" w:themeFill="background1"/>
          </w:tcPr>
          <w:p w14:paraId="21F90660"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97644CC" w14:textId="02D835BD"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793A4197" w14:textId="71D8545F"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32378AFD" w14:textId="77777777" w:rsidR="00792203" w:rsidRPr="001941B0" w:rsidRDefault="00792203"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17DBD3EB"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675DA733"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0EE43EA6"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65442817"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02C2E6A2"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3) wzmocnią przejrzystość postępowań kontrolnych, ograniczając spory o zakres uprawnień i obowiązków dokumentacyjnych.</w:t>
            </w:r>
          </w:p>
          <w:p w14:paraId="0A167406"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1A6DD33D"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024D9974" w14:textId="77777777" w:rsidR="00792203" w:rsidRPr="001941B0" w:rsidRDefault="00792203"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4. Ustawa o świadczeniach opieki zdrowotnej finansowanych ze środków publicznych.</w:t>
            </w:r>
          </w:p>
          <w:p w14:paraId="7604BA9C"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27 sierpnia 2004 r. o świadczeniach opieki zdrowotnej finansowanych ze środków publicznych wprowadza się następujące zmiany:</w:t>
            </w:r>
          </w:p>
          <w:p w14:paraId="2E77F577" w14:textId="77777777" w:rsidR="00792203" w:rsidRPr="001941B0" w:rsidRDefault="00792203"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2) zmiana art. 15 ust. 2</w:t>
            </w:r>
          </w:p>
          <w:p w14:paraId="4B108FB3" w14:textId="77777777" w:rsidR="00792203" w:rsidRPr="001941B0" w:rsidRDefault="0079220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w art. 15 ust. 2 po pkt 18 kropkę zastępuje się średnikiem i dodaje się pkt 19 w brzmieniu: „19) opieki farmaceutycznej oraz innych świadczeń opieki zdrowotnej wykonywanych przez farmaceutów.”.</w:t>
            </w:r>
          </w:p>
          <w:p w14:paraId="1FADE17E"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4AF324E2" w14:textId="6CB073F7" w:rsidR="001776B8"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tworzą podstawę do uznania opieki farmaceutycznej i świadczeń farmaceutów za świadczenia gwarantowane oraz do ich finansowania ze środków publicznych. Ustalenie szczególnego trybu kontraktowania ma zapewnić powszechną dostępność świadczeń, przy jednoczesnym oparciu wymagań na regulacjach Prawa farmaceutycznego. Przepisy porządkują też ścieżkę kwalifikacji świadczeń (AOTMiT/MZ) po dodaniu nowego zakresu.</w:t>
            </w:r>
          </w:p>
        </w:tc>
        <w:tc>
          <w:tcPr>
            <w:tcW w:w="2855" w:type="dxa"/>
            <w:shd w:val="clear" w:color="auto" w:fill="FFFFFF" w:themeFill="background1"/>
          </w:tcPr>
          <w:p w14:paraId="16CA6A8E" w14:textId="3845A21A" w:rsidR="006762CC" w:rsidRPr="001941B0" w:rsidRDefault="006762CC" w:rsidP="006762CC">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 xml:space="preserve">Uwaga nieuwzględniona </w:t>
            </w:r>
          </w:p>
          <w:p w14:paraId="6E66762A" w14:textId="110306D8" w:rsidR="006762CC" w:rsidRPr="001941B0" w:rsidRDefault="006762CC" w:rsidP="006762CC">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390777" w:rsidRPr="001941B0">
              <w:rPr>
                <w:rFonts w:eastAsiaTheme="minorEastAsia"/>
                <w:sz w:val="20"/>
                <w:szCs w:val="20"/>
              </w:rPr>
              <w:t xml:space="preserve">projektowanej </w:t>
            </w:r>
            <w:r w:rsidRPr="001941B0">
              <w:rPr>
                <w:rFonts w:eastAsiaTheme="minorEastAsia"/>
                <w:sz w:val="20"/>
                <w:szCs w:val="20"/>
              </w:rPr>
              <w:t>regulacji.</w:t>
            </w:r>
          </w:p>
          <w:p w14:paraId="6CDAC2A6"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03ED4DCC" w14:textId="77777777" w:rsidTr="7139DBB9">
        <w:tc>
          <w:tcPr>
            <w:tcW w:w="1125" w:type="dxa"/>
            <w:shd w:val="clear" w:color="auto" w:fill="FFFFFF" w:themeFill="background1"/>
          </w:tcPr>
          <w:p w14:paraId="13870A87"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EAB905F" w14:textId="74D425FE"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56CE6740" w14:textId="1329A4EB"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3AD7408B" w14:textId="77777777" w:rsidR="007F6525" w:rsidRPr="001941B0" w:rsidRDefault="007F6525"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6ED3F646"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w:t>
            </w:r>
            <w:r w:rsidRPr="001941B0">
              <w:rPr>
                <w:rFonts w:eastAsiaTheme="minorEastAsia"/>
                <w:sz w:val="20"/>
                <w:szCs w:val="20"/>
              </w:rPr>
              <w:lastRenderedPageBreak/>
              <w:t xml:space="preserve">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549BDD34"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7A8204CE"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68FF48C5"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2497AA2D"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69683672"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5DFD92CC"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63F57EB7" w14:textId="77777777" w:rsidR="007F6525" w:rsidRPr="001941B0" w:rsidRDefault="007F6525"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4. Ustawa o świadczeniach opieki zdrowotnej finansowanych ze środków publicznych.</w:t>
            </w:r>
          </w:p>
          <w:p w14:paraId="5C0B0DD1"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27 sierpnia 2004 r. o świadczeniach opieki zdrowotnej finansowanych ze środków publicznych wprowadza się następujące zmiany:</w:t>
            </w:r>
          </w:p>
          <w:p w14:paraId="2F1DF4E0" w14:textId="77777777" w:rsidR="007F6525" w:rsidRPr="001941B0" w:rsidRDefault="007F6525"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3) zmiana art. 31a ust. 1 (wprowadzenie do wyliczenia)</w:t>
            </w:r>
          </w:p>
          <w:p w14:paraId="2B480912"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w art. 31a ust. 1 wprowadzenie do wyliczenia otrzymuje brzmienie:</w:t>
            </w:r>
          </w:p>
          <w:p w14:paraId="0590CD43" w14:textId="77777777" w:rsidR="007F6525" w:rsidRPr="001941B0" w:rsidRDefault="007F652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Podstawą zakwalifikowania świadczenia opieki zdrowotnej jako świadczenia gwarantowanego w zakresie, o którym mowa w art. 15 ust. 2 pkt 1-8, pkt 10-13 i pkt 19, jest jego ocena uwzględniająca następujące kryteria:”.</w:t>
            </w:r>
          </w:p>
          <w:p w14:paraId="66E76670"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475BDAD1" w14:textId="5651D1A5" w:rsidR="001776B8"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tworzą podstawę do uznania opieki farmaceutycznej i świadczeń farmaceutów za świadczenia gwarantowane oraz do ich finansowania ze środków publicznych. Ustalenie szczególnego trybu kontraktowania ma zapewnić powszechną dostępność świadczeń, przy jednoczesnym oparciu wymagań na regulacjach Prawa farmaceutycznego. Przepisy porządkują też ścieżkę kwalifikacji świadczeń (AOTMiT/MZ) po dodaniu nowego zakresu.</w:t>
            </w:r>
          </w:p>
        </w:tc>
        <w:tc>
          <w:tcPr>
            <w:tcW w:w="2855" w:type="dxa"/>
            <w:shd w:val="clear" w:color="auto" w:fill="FFFFFF" w:themeFill="background1"/>
          </w:tcPr>
          <w:p w14:paraId="03D0A8DC" w14:textId="6104203E" w:rsidR="00F204A9" w:rsidRPr="001941B0" w:rsidRDefault="00F204A9" w:rsidP="00F204A9">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76EAA5C2" w14:textId="27DD55F7" w:rsidR="00F204A9" w:rsidRPr="001941B0" w:rsidRDefault="00F204A9" w:rsidP="00F204A9">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390777" w:rsidRPr="001941B0">
              <w:rPr>
                <w:rFonts w:eastAsiaTheme="minorEastAsia"/>
                <w:sz w:val="20"/>
                <w:szCs w:val="20"/>
              </w:rPr>
              <w:t xml:space="preserve">projektowanej </w:t>
            </w:r>
            <w:r w:rsidRPr="001941B0">
              <w:rPr>
                <w:rFonts w:eastAsiaTheme="minorEastAsia"/>
                <w:sz w:val="20"/>
                <w:szCs w:val="20"/>
              </w:rPr>
              <w:t>regulacji.</w:t>
            </w:r>
          </w:p>
          <w:p w14:paraId="29E6523A"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7F576B53" w14:textId="77777777" w:rsidTr="7139DBB9">
        <w:tc>
          <w:tcPr>
            <w:tcW w:w="1125" w:type="dxa"/>
            <w:shd w:val="clear" w:color="auto" w:fill="FFFFFF" w:themeFill="background1"/>
          </w:tcPr>
          <w:p w14:paraId="41CE2C9A"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D91F134" w14:textId="0275BF1C"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02DF28E4" w14:textId="3FA88E22"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1ADC6DDF" w14:textId="77777777" w:rsidR="00A47F9F" w:rsidRPr="001941B0" w:rsidRDefault="00A47F9F"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156FB82A"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79F8E6EA"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5CBFA008"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3E6B4B04"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2) umożliwią farmaceutom tworzenie dodatkowej dokumentacji wspierającej ocenę zasadności i okoliczności wystawienia recepty farmaceutycznej;</w:t>
            </w:r>
          </w:p>
          <w:p w14:paraId="3529B8D0"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1CA3CDAB"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5315E53F"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0A0890B6" w14:textId="77777777" w:rsidR="00A47F9F" w:rsidRPr="001941B0" w:rsidRDefault="00A47F9F"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4. Ustawa o świadczeniach opieki zdrowotnej finansowanych ze środków publicznych.</w:t>
            </w:r>
          </w:p>
          <w:p w14:paraId="05A43C09"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27 sierpnia 2004 r. o świadczeniach opieki zdrowotnej finansowanych ze środków publicznych wprowadza się następujące zmiany:</w:t>
            </w:r>
          </w:p>
          <w:p w14:paraId="089FD54D" w14:textId="77777777" w:rsidR="00A47F9F" w:rsidRPr="001941B0" w:rsidRDefault="00A47F9F"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4) zmiana art. 31b ust. 1</w:t>
            </w:r>
          </w:p>
          <w:p w14:paraId="76C6AF01"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art. 3 lb ust. 1 otrzymuje brzmienie:</w:t>
            </w:r>
          </w:p>
          <w:p w14:paraId="3F34B6DE" w14:textId="77777777" w:rsidR="00A47F9F" w:rsidRPr="001941B0" w:rsidRDefault="00A47F9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Kwalifikacji świadczenia opieki zdrowotnej jako świadczenia gwarantowanego w zakresie, o którym mowa w art. 15 ust. 2 pkt 1-8, pkt 10-13 i pkt 19, dokonuje minister właściwy do spraw zdrowia po uzyskaniu rekomendacji Prezesa Agencji, biorąc pod uwagę kryteria określone w art. 31a ust. 1.”.</w:t>
            </w:r>
          </w:p>
          <w:p w14:paraId="453FED10"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463073DE" w14:textId="407662EB" w:rsidR="001776B8"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tworzą podstawę do uznania opieki farmaceutycznej i świadczeń farmaceutów za świadczenia gwarantowane oraz do ich finansowania ze środków publicznych. Ustalenie szczególnego trybu kontraktowania ma zapewnić powszechną dostępność świadczeń, przy jednoczesnym oparciu wymagań na regulacjach Prawa farmaceutycznego. Przepisy porządkują też ścieżkę kwalifikacji świadczeń (AOTMiT/MZ) po dodaniu nowego zakresu.</w:t>
            </w:r>
          </w:p>
        </w:tc>
        <w:tc>
          <w:tcPr>
            <w:tcW w:w="2855" w:type="dxa"/>
            <w:shd w:val="clear" w:color="auto" w:fill="FFFFFF" w:themeFill="background1"/>
          </w:tcPr>
          <w:p w14:paraId="3B010F2D" w14:textId="7655D7D7" w:rsidR="00F204A9" w:rsidRPr="001941B0" w:rsidRDefault="00F204A9" w:rsidP="00F204A9">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 xml:space="preserve">Uwaga nieuwzględniona </w:t>
            </w:r>
          </w:p>
          <w:p w14:paraId="32AFF71B" w14:textId="0C1464F5" w:rsidR="00F204A9" w:rsidRPr="001941B0" w:rsidRDefault="00F204A9" w:rsidP="00F204A9">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390777" w:rsidRPr="001941B0">
              <w:rPr>
                <w:rFonts w:eastAsiaTheme="minorEastAsia"/>
                <w:sz w:val="20"/>
                <w:szCs w:val="20"/>
              </w:rPr>
              <w:t xml:space="preserve">projektowanej </w:t>
            </w:r>
            <w:r w:rsidRPr="001941B0">
              <w:rPr>
                <w:rFonts w:eastAsiaTheme="minorEastAsia"/>
                <w:sz w:val="20"/>
                <w:szCs w:val="20"/>
              </w:rPr>
              <w:t>regulacji.</w:t>
            </w:r>
          </w:p>
          <w:p w14:paraId="4BD9D89A"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3F7BD44E" w14:textId="77777777" w:rsidTr="7139DBB9">
        <w:tc>
          <w:tcPr>
            <w:tcW w:w="1125" w:type="dxa"/>
            <w:shd w:val="clear" w:color="auto" w:fill="FFFFFF" w:themeFill="background1"/>
          </w:tcPr>
          <w:p w14:paraId="57BD581F"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5EA789A" w14:textId="4D1F181C"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5F216F87" w14:textId="4061821F"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107D048D" w14:textId="77777777" w:rsidR="00837DBB" w:rsidRPr="001941B0" w:rsidRDefault="00837DBB"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272457FC"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38503251"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77A72A1C"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63076875"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2E3F4D1C"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4D7E07A2"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76F7B13B"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17572D68" w14:textId="77777777" w:rsidR="00837DBB" w:rsidRPr="001941B0" w:rsidRDefault="00837DBB"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lastRenderedPageBreak/>
              <w:t>4. Ustawa o świadczeniach opieki zdrowotnej finansowanych ze środków publicznych.</w:t>
            </w:r>
          </w:p>
          <w:p w14:paraId="0675A3C2"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27 sierpnia 2004 r. o świadczeniach opieki zdrowotnej finansowanych ze środków publicznych wprowadza się następujące zmiany:</w:t>
            </w:r>
          </w:p>
          <w:p w14:paraId="6A180D0F" w14:textId="77777777" w:rsidR="00837DBB" w:rsidRPr="001941B0" w:rsidRDefault="00837DBB"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5) zmiana art. 31d (wprowadzenie do wyliczenia):</w:t>
            </w:r>
          </w:p>
          <w:p w14:paraId="37B9F282"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w art. 31d wprowadzenie do wyliczenia otrzymuje brzmienie:</w:t>
            </w:r>
          </w:p>
          <w:p w14:paraId="73993AF1" w14:textId="77777777" w:rsidR="00837DBB" w:rsidRPr="001941B0" w:rsidRDefault="00837DB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„Minister właściwy do spraw zdrowia określi, w drodze rozporządzeń, w poszczególnych zakresach, o których mowa w art. 15 ust. 2 pkt 1-8, pkt 10-13 i pkt 19, wykazy świadczeń gwarantowanych wraz z określeniem:”;</w:t>
            </w:r>
          </w:p>
          <w:p w14:paraId="3401BA29"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20C0881A" w14:textId="414F86EB" w:rsidR="001776B8"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tworzą podstawę do uznania opieki farmaceutycznej i świadczeń farmaceutów za świadczenia gwarantowane oraz do ich finansowania ze środków publicznych. Ustalenie szczególnego trybu kontraktowania ma zapewnić powszechną dostępność świadczeń, przy jednoczesnym oparciu wymagań na regulacjach Prawa farmaceutycznego. Przepisy porządkują też ścieżkę kwalifikacji świadczeń (AOTMiT/MZ) po dodaniu nowego zakresu.</w:t>
            </w:r>
          </w:p>
        </w:tc>
        <w:tc>
          <w:tcPr>
            <w:tcW w:w="2855" w:type="dxa"/>
            <w:shd w:val="clear" w:color="auto" w:fill="FFFFFF" w:themeFill="background1"/>
          </w:tcPr>
          <w:p w14:paraId="7AF286C0" w14:textId="564653D5" w:rsidR="00FC134C" w:rsidRPr="001941B0" w:rsidRDefault="00FC134C" w:rsidP="00FC134C">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 xml:space="preserve">Uwaga nieuwzględniona </w:t>
            </w:r>
          </w:p>
          <w:p w14:paraId="45286185" w14:textId="6D39716B" w:rsidR="00FC134C" w:rsidRPr="001941B0" w:rsidRDefault="00FC134C" w:rsidP="00FC134C">
            <w:pPr>
              <w:autoSpaceDE w:val="0"/>
              <w:autoSpaceDN w:val="0"/>
              <w:adjustRightInd w:val="0"/>
              <w:spacing w:after="0" w:line="240" w:lineRule="auto"/>
              <w:rPr>
                <w:rFonts w:eastAsiaTheme="minorEastAsia"/>
                <w:sz w:val="20"/>
                <w:szCs w:val="20"/>
              </w:rPr>
            </w:pPr>
            <w:r w:rsidRPr="001941B0">
              <w:rPr>
                <w:rFonts w:eastAsiaTheme="minorEastAsia"/>
                <w:sz w:val="20"/>
                <w:szCs w:val="20"/>
              </w:rPr>
              <w:t>Poza zakresem</w:t>
            </w:r>
            <w:r w:rsidRPr="001941B0">
              <w:t xml:space="preserve"> </w:t>
            </w:r>
            <w:r w:rsidR="00390777" w:rsidRPr="001941B0">
              <w:rPr>
                <w:rFonts w:eastAsiaTheme="minorEastAsia"/>
                <w:sz w:val="20"/>
                <w:szCs w:val="20"/>
              </w:rPr>
              <w:t>projektowanej</w:t>
            </w:r>
            <w:r w:rsidRPr="001941B0">
              <w:rPr>
                <w:rFonts w:eastAsiaTheme="minorEastAsia"/>
                <w:sz w:val="20"/>
                <w:szCs w:val="20"/>
              </w:rPr>
              <w:t xml:space="preserve"> regulacji.</w:t>
            </w:r>
          </w:p>
          <w:p w14:paraId="1532232B"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464EC6A0" w14:textId="77777777" w:rsidTr="7139DBB9">
        <w:tc>
          <w:tcPr>
            <w:tcW w:w="1125" w:type="dxa"/>
            <w:shd w:val="clear" w:color="auto" w:fill="FFFFFF" w:themeFill="background1"/>
          </w:tcPr>
          <w:p w14:paraId="0C8C8A35"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69ECCE1" w14:textId="65B4CFE5"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15267B01" w14:textId="77C9BBF2"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1D114ABB" w14:textId="77777777" w:rsidR="00720C15" w:rsidRPr="001941B0" w:rsidRDefault="00720C15"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3B6CB7E2"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54D72BAC"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t>
            </w:r>
            <w:r w:rsidRPr="001941B0">
              <w:rPr>
                <w:rFonts w:eastAsiaTheme="minorEastAsia"/>
                <w:sz w:val="20"/>
                <w:szCs w:val="20"/>
              </w:rPr>
              <w:lastRenderedPageBreak/>
              <w:t>W ocenie NRA wskazane jest rozważenie stworzenia rozwiązań prawnych, które:</w:t>
            </w:r>
          </w:p>
          <w:p w14:paraId="5DB345C4"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418859B4"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26E61EA4"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653241A8"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540DC031"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2E9302CD" w14:textId="77777777" w:rsidR="00720C15" w:rsidRPr="001941B0" w:rsidRDefault="00720C15"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4. Ustawa o świadczeniach opieki zdrowotnej finansowanych ze środków publicznych.</w:t>
            </w:r>
          </w:p>
          <w:p w14:paraId="58DF34A2"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27 sierpnia 2004 r. o świadczeniach opieki zdrowotnej finansowanych ze środków publicznych wprowadza się następujące zmiany:</w:t>
            </w:r>
          </w:p>
          <w:p w14:paraId="05F3139B" w14:textId="77777777" w:rsidR="00720C15" w:rsidRPr="001941B0" w:rsidRDefault="00720C15"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6) zmiana art. 139 ust. 1:</w:t>
            </w:r>
          </w:p>
          <w:p w14:paraId="5943D23C"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w art. 139 ust. 1 otrzymuje brzmienie:</w:t>
            </w:r>
          </w:p>
          <w:p w14:paraId="19E53917"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Zawieranie przez Fundusz umów o udzielanie świadczeń opieki zdrowotnej, z zastrzeżeniem art. 159, art. 159a i art. 159b, odbywa się po przeprowadzeniu postępowania w trybie:</w:t>
            </w:r>
          </w:p>
          <w:p w14:paraId="09CBF369"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1) konkursu ofert albo </w:t>
            </w:r>
          </w:p>
          <w:p w14:paraId="7045C4A1" w14:textId="77777777" w:rsidR="00720C15" w:rsidRPr="001941B0" w:rsidRDefault="00720C1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rokowań.”.</w:t>
            </w:r>
          </w:p>
          <w:p w14:paraId="4663CFB7"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00498FBD" w14:textId="7E246C47" w:rsidR="001776B8"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Zmiany tworzą podstawę do uznania opieki farmaceutycznej i świadczeń farmaceutów za świadczenia gwarantowane oraz do ich finansowania ze środków publicznych. Ustalenie szczególnego trybu kontraktowania ma zapewnić powszechną dostępność świadczeń, przy jednoczesnym oparciu wymagań </w:t>
            </w:r>
            <w:r w:rsidRPr="001941B0">
              <w:rPr>
                <w:rFonts w:eastAsiaTheme="minorEastAsia"/>
                <w:sz w:val="20"/>
                <w:szCs w:val="20"/>
              </w:rPr>
              <w:lastRenderedPageBreak/>
              <w:t>na regulacjach Prawa farmaceutycznego. Przepisy porządkują też ścieżkę kwalifikacji świadczeń (AOTMiT/MZ) po dodaniu nowego zakresu.</w:t>
            </w:r>
          </w:p>
        </w:tc>
        <w:tc>
          <w:tcPr>
            <w:tcW w:w="2855" w:type="dxa"/>
            <w:shd w:val="clear" w:color="auto" w:fill="FFFFFF" w:themeFill="background1"/>
          </w:tcPr>
          <w:p w14:paraId="6A0E917E" w14:textId="3570EDE1" w:rsidR="00FC134C" w:rsidRPr="001941B0" w:rsidRDefault="00FC134C" w:rsidP="00FC134C">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4BF06B9C" w14:textId="52EFD41D" w:rsidR="00FC134C" w:rsidRPr="001941B0" w:rsidRDefault="00FC134C" w:rsidP="00FC134C">
            <w:pPr>
              <w:autoSpaceDE w:val="0"/>
              <w:autoSpaceDN w:val="0"/>
              <w:adjustRightInd w:val="0"/>
              <w:spacing w:after="0" w:line="240" w:lineRule="auto"/>
              <w:rPr>
                <w:rFonts w:eastAsiaTheme="minorEastAsia"/>
                <w:sz w:val="20"/>
                <w:szCs w:val="20"/>
              </w:rPr>
            </w:pPr>
            <w:r w:rsidRPr="001941B0">
              <w:rPr>
                <w:rFonts w:eastAsiaTheme="minorEastAsia"/>
                <w:sz w:val="20"/>
                <w:szCs w:val="20"/>
              </w:rPr>
              <w:t>Poza zakresem</w:t>
            </w:r>
            <w:r w:rsidRPr="001941B0">
              <w:t xml:space="preserve"> </w:t>
            </w:r>
            <w:r w:rsidR="00390777" w:rsidRPr="001941B0">
              <w:rPr>
                <w:rFonts w:eastAsiaTheme="minorEastAsia"/>
                <w:sz w:val="20"/>
                <w:szCs w:val="20"/>
              </w:rPr>
              <w:t>projektowanej</w:t>
            </w:r>
            <w:r w:rsidRPr="001941B0">
              <w:rPr>
                <w:rFonts w:eastAsiaTheme="minorEastAsia"/>
                <w:sz w:val="20"/>
                <w:szCs w:val="20"/>
              </w:rPr>
              <w:t xml:space="preserve"> regulacji.</w:t>
            </w:r>
          </w:p>
          <w:p w14:paraId="211BE5E2"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5195DEF2" w14:textId="77777777" w:rsidTr="7139DBB9">
        <w:tc>
          <w:tcPr>
            <w:tcW w:w="1125" w:type="dxa"/>
            <w:shd w:val="clear" w:color="auto" w:fill="FFFFFF" w:themeFill="background1"/>
          </w:tcPr>
          <w:p w14:paraId="5726C0D7"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4C0D459" w14:textId="449B67BC"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749EFE72" w14:textId="113C2735"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0665A943"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051B2930"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7E07D29A"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0D2758AE"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3981D311"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448B146F"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269BB753"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3ED4AC31"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Szczegółowe uzasadnienie proponowanych poniżej zmian zawarte zostało m. in. w pismach z dnia 23 stycznia 2026 r., L.dz. P-18/2026 oraz z dnia 26 stycznia 2026 r., L.dz.P22/2026, skierowanych do Pana Mateusza Oczkowskiego, Dyrektora </w:t>
            </w:r>
            <w:r w:rsidRPr="001941B0">
              <w:rPr>
                <w:rFonts w:eastAsiaTheme="minorEastAsia"/>
                <w:sz w:val="20"/>
                <w:szCs w:val="20"/>
              </w:rPr>
              <w:lastRenderedPageBreak/>
              <w:t>Departamentu Polityki Lekowej i Farmacji w Ministerstwie Zdrowia.</w:t>
            </w:r>
          </w:p>
          <w:p w14:paraId="7FDEA0C0"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4. Ustawa o świadczeniach opieki zdrowotnej finansowanych ze środków publicznych.</w:t>
            </w:r>
          </w:p>
          <w:p w14:paraId="1AC9D47F"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ustawie z dnia 27 sierpnia 2004 r. o świadczeniach opieki zdrowotnej finansowanych ze środków publicznych wprowadza się następujące zmiany:</w:t>
            </w:r>
          </w:p>
          <w:p w14:paraId="4BE9D198"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7) dodanie art. 159b:</w:t>
            </w:r>
          </w:p>
          <w:p w14:paraId="641A9CAB"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 po art. 159a dodaje się art. 159b w brzmieniu: </w:t>
            </w:r>
          </w:p>
          <w:p w14:paraId="6BF92DE6"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„Art. 159b.</w:t>
            </w:r>
          </w:p>
          <w:p w14:paraId="5162D254"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Przepisów dotyczących konkursu ofert i rokowań nie stosuje się do zawierania umów ze świadczeniodawcami udzielającymi świadczeń opieki zdrowotnej, o których mowa w art. 15 ust. 2 pkt 19.</w:t>
            </w:r>
          </w:p>
          <w:p w14:paraId="572BD16E"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2. W przypadku, o którym mowa w ust. 1, umowę zawiera się ze świadczeniodawcą spełniającym warunki do udzielania świadczeń określone w ustawie - Prawo farmaceutyczne. </w:t>
            </w:r>
          </w:p>
          <w:p w14:paraId="470E5EE6"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 przypadku umowy zawieranej z podmiotem prowadzącym aptekę umowa o udzielanie świadczeń opieki zdrowotnej, o których mowa w art. 15 ust. 2 pkt 19, jest zawierana odrębnie dla każdej apteki, na czas nieokreślony. Umowa podpisywana jest również przez kierownika apteki oraz osoby udzielające świadczeń zdrowotnych.</w:t>
            </w:r>
          </w:p>
          <w:p w14:paraId="0D5B73A7"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4. Umowa o udzielanie świadczeń opieki zdrowotnej, o których mowa w art. 15 ust. 2 pkt 19, poza postanowieniami, o których mowa w art. 136 ust. 1 pkt 1, 2 i 4—8, określa także w szczególności:</w:t>
            </w:r>
          </w:p>
          <w:p w14:paraId="087075D5"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w:t>
            </w:r>
            <w:r w:rsidRPr="001941B0">
              <w:rPr>
                <w:rFonts w:eastAsiaTheme="minorEastAsia"/>
                <w:sz w:val="20"/>
                <w:szCs w:val="20"/>
              </w:rPr>
              <w:tab/>
              <w:t>imię i nazwisko osoby będącej kierownikiem apteki;</w:t>
            </w:r>
          </w:p>
          <w:p w14:paraId="5D652DA4"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w:t>
            </w:r>
            <w:r w:rsidRPr="001941B0">
              <w:rPr>
                <w:rFonts w:eastAsiaTheme="minorEastAsia"/>
                <w:sz w:val="20"/>
                <w:szCs w:val="20"/>
              </w:rPr>
              <w:tab/>
              <w:t>imię i nazwisko osoby sprawującej opiekę farmaceutyczną lub udzielającej innych świadczeń zdrowotnych;</w:t>
            </w:r>
          </w:p>
          <w:p w14:paraId="0D94CE70"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w:t>
            </w:r>
            <w:r w:rsidRPr="001941B0">
              <w:rPr>
                <w:rFonts w:eastAsiaTheme="minorEastAsia"/>
                <w:sz w:val="20"/>
                <w:szCs w:val="20"/>
              </w:rPr>
              <w:tab/>
              <w:t xml:space="preserve">kwoty przeznaczone na wynagrodzenia osoby sprawującej opiekę farmaceutyczną lub udzielającej innych świadczeń zdrowotnych w ramach kwoty zobowiązania Funduszu wobec świadczeniodawcy; </w:t>
            </w:r>
          </w:p>
          <w:p w14:paraId="20C05AB5"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4)</w:t>
            </w:r>
            <w:r w:rsidRPr="001941B0">
              <w:rPr>
                <w:rFonts w:eastAsiaTheme="minorEastAsia"/>
                <w:sz w:val="20"/>
                <w:szCs w:val="20"/>
              </w:rPr>
              <w:tab/>
              <w:t>adres prowadzenia apteki.</w:t>
            </w:r>
          </w:p>
          <w:p w14:paraId="0E649831"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5. Fundusz nie może odmówić zawarcia umowy o udzielanie świadczeń opieki zdrowotnej, o których mowa w art. 15 ust. 2 pkt 19, jeżeli podmiot, o którym mowa w ust. 1, spełnia warunki realizacji danego świadczenia gwarantowanego opieki farmaceutycznej, określone w przepisach wydanych na podstawie art. 31d pkt 2.</w:t>
            </w:r>
          </w:p>
          <w:p w14:paraId="442F3963"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6.</w:t>
            </w:r>
            <w:r w:rsidRPr="001941B0">
              <w:rPr>
                <w:rFonts w:eastAsiaTheme="minorEastAsia"/>
                <w:sz w:val="20"/>
                <w:szCs w:val="20"/>
              </w:rPr>
              <w:tab/>
              <w:t>Do zawierania umowy nie stosuje się przepisów o zamówieniach publicznych.</w:t>
            </w:r>
          </w:p>
          <w:p w14:paraId="62B95D89"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7.</w:t>
            </w:r>
            <w:r w:rsidRPr="001941B0">
              <w:rPr>
                <w:rFonts w:eastAsiaTheme="minorEastAsia"/>
                <w:sz w:val="20"/>
                <w:szCs w:val="20"/>
              </w:rPr>
              <w:tab/>
              <w:t>Prezes Funduszu określa jednostki rozliczeniowe dla poszczególnych świadczeń, o których mowa w art. 15 ust. 2 pkt 19, uwzględniając taryfy świadczeń, w przypadku ich ustalenia.</w:t>
            </w:r>
          </w:p>
          <w:p w14:paraId="7C46310D"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w:t>
            </w:r>
            <w:r w:rsidRPr="001941B0">
              <w:rPr>
                <w:rFonts w:eastAsiaTheme="minorEastAsia"/>
                <w:sz w:val="20"/>
                <w:szCs w:val="20"/>
              </w:rPr>
              <w:tab/>
              <w:t>Minister właściwy do spraw zdrowia określi, w drodze rozporządzenia, szczegółowy sposób postępowania w sprawie zawarcia umowy o udzielanie świadczeń opieki zdrowotnej, o których mowa w art. 15 ust. 2 pkt 19, kierując się koniecznością zapewnienia równego traktowania świadczeniodawców.</w:t>
            </w:r>
          </w:p>
          <w:p w14:paraId="2BD4A939" w14:textId="77777777" w:rsidR="00253D9A"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9.</w:t>
            </w:r>
            <w:r w:rsidRPr="001941B0">
              <w:rPr>
                <w:rFonts w:eastAsiaTheme="minorEastAsia"/>
                <w:sz w:val="20"/>
                <w:szCs w:val="20"/>
              </w:rPr>
              <w:tab/>
              <w:t>Minister właściwy do spraw zdrowia określi, w drodze rozporządzenia, ogólne warunki umów o udzielanie świadczeń opieki zdrowotnej, o których mowa w art. 15 ust. 2 pkt 19, oraz ramowy wzór umowy o udzielanie świadczeń opieki zdrowotnej, o których mowa w art. 15 ust. 2 pkt 19, kierując się interesem świadczeniobiorców oraz koniecznością zapewnienia właściwego wykonania umów.”.</w:t>
            </w:r>
          </w:p>
          <w:p w14:paraId="186CBFF5" w14:textId="77777777" w:rsidR="00253D9A" w:rsidRPr="001941B0" w:rsidRDefault="00253D9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12944A63" w14:textId="08FE29AD" w:rsidR="001776B8" w:rsidRPr="001941B0" w:rsidRDefault="00253D9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tworzą podstawę do uznania opieki farmaceutycznej i świadczeń farmaceutów za świadczenia gwarantowane oraz do ich finansowania ze środków publicznych. Ustalenie szczególnego trybu kontraktowania ma zapewnić powszechną dostępność świadczeń, przy jednoczesnym oparciu wymagań na regulacjach Prawa farmaceutycznego. Przepisy porządkują też ścieżkę kwalifikacji świadczeń (AOTMiT/MZ) po dodaniu nowego zakresu.</w:t>
            </w:r>
          </w:p>
        </w:tc>
        <w:tc>
          <w:tcPr>
            <w:tcW w:w="2855" w:type="dxa"/>
            <w:shd w:val="clear" w:color="auto" w:fill="FFFFFF" w:themeFill="background1"/>
          </w:tcPr>
          <w:p w14:paraId="72E9FA06" w14:textId="48629958" w:rsidR="00FC134C" w:rsidRPr="001941B0" w:rsidRDefault="00FC134C" w:rsidP="00FC134C">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 xml:space="preserve">Uwaga nieuwzględniona </w:t>
            </w:r>
          </w:p>
          <w:p w14:paraId="1529A2BB" w14:textId="2797140E" w:rsidR="00FC134C" w:rsidRPr="001941B0" w:rsidRDefault="00FC134C" w:rsidP="00FC134C">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390777" w:rsidRPr="001941B0">
              <w:rPr>
                <w:rFonts w:eastAsiaTheme="minorEastAsia"/>
                <w:sz w:val="20"/>
                <w:szCs w:val="20"/>
              </w:rPr>
              <w:t xml:space="preserve">projektowanej </w:t>
            </w:r>
            <w:r w:rsidRPr="001941B0">
              <w:rPr>
                <w:rFonts w:eastAsiaTheme="minorEastAsia"/>
                <w:sz w:val="20"/>
                <w:szCs w:val="20"/>
              </w:rPr>
              <w:t>regulacji.</w:t>
            </w:r>
          </w:p>
          <w:p w14:paraId="5DF66BE3"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34C58A9F" w14:textId="77777777" w:rsidTr="7139DBB9">
        <w:tc>
          <w:tcPr>
            <w:tcW w:w="1125" w:type="dxa"/>
            <w:shd w:val="clear" w:color="auto" w:fill="FFFFFF" w:themeFill="background1"/>
          </w:tcPr>
          <w:p w14:paraId="7D96D0F0" w14:textId="77777777" w:rsidR="001776B8" w:rsidRPr="001941B0" w:rsidRDefault="001776B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DDA7E07" w14:textId="7FC43637"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bCs/>
                <w:sz w:val="20"/>
                <w:szCs w:val="20"/>
              </w:rPr>
              <w:t>Naczelna Izba Aptekarska</w:t>
            </w:r>
          </w:p>
        </w:tc>
        <w:tc>
          <w:tcPr>
            <w:tcW w:w="1949" w:type="dxa"/>
            <w:shd w:val="clear" w:color="auto" w:fill="FFFFFF" w:themeFill="background1"/>
          </w:tcPr>
          <w:p w14:paraId="62218950" w14:textId="4BB8CC22" w:rsidR="001776B8" w:rsidRPr="001941B0" w:rsidRDefault="001776B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173C86AB" w14:textId="77777777" w:rsidR="0099408E" w:rsidRPr="001941B0" w:rsidRDefault="0099408E"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IV. Uwagi dodatkowa — potrzeba uregulowania „dokumentacji farmaceutycznej" w kontekście e-zdrowia, w tym recept farmaceutycznych.</w:t>
            </w:r>
          </w:p>
          <w:p w14:paraId="08071E13"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W związku z tym, że materia projektu ustawy obejmuje nowelizacje ustaw regulujących dokumentację medyczną, NRA zwraca uwagę na brak jednoznacznego prawnego określenia pojęcia </w:t>
            </w:r>
            <w:r w:rsidRPr="001941B0">
              <w:rPr>
                <w:rFonts w:eastAsiaTheme="minorEastAsia"/>
                <w:b/>
                <w:bCs/>
                <w:sz w:val="20"/>
                <w:szCs w:val="20"/>
              </w:rPr>
              <w:t>dokumentacji farmaceutycznej</w:t>
            </w:r>
            <w:r w:rsidRPr="001941B0">
              <w:rPr>
                <w:rFonts w:eastAsiaTheme="minorEastAsia"/>
                <w:sz w:val="20"/>
                <w:szCs w:val="20"/>
              </w:rPr>
              <w:t xml:space="preserve"> oraz narzędzi umożliwiających wytworzenie dodatkowej dokumentacji odnoszącej się do świadczeń wykonywanych przez farmaceutów, w tym do </w:t>
            </w:r>
            <w:r w:rsidRPr="001941B0">
              <w:rPr>
                <w:rFonts w:eastAsiaTheme="minorEastAsia"/>
                <w:b/>
                <w:bCs/>
                <w:sz w:val="20"/>
                <w:szCs w:val="20"/>
              </w:rPr>
              <w:t>recept farmaceutycznych</w:t>
            </w:r>
            <w:r w:rsidRPr="001941B0">
              <w:rPr>
                <w:rFonts w:eastAsiaTheme="minorEastAsia"/>
                <w:sz w:val="20"/>
                <w:szCs w:val="20"/>
              </w:rPr>
              <w:t>.</w:t>
            </w:r>
          </w:p>
          <w:p w14:paraId="14196B1D"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 praktyce systemy apteczne umożliwiają tworzenie komentarzy/uzupełnień do recept farmaceutycznych, jednak status prawny takich zapisów bywa kwestionowany jako nieznajdujący oparcia w obowiązujących przepisach prawa. Tymczasem w innych obszarach systemu ochrony zdrowia istnieje możliwość wytwarzania dodatkowej dokumentacji medycznej przez osoby udzielające świadczeń (np. epikryza). W ocenie NRA wskazane jest rozważenie stworzenia rozwiązań prawnych, które:</w:t>
            </w:r>
          </w:p>
          <w:p w14:paraId="2E2EF175"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 zapewnią spójność w dokumentowaniu świadczeń farmaceutycznych w systemach e-zdrowia;</w:t>
            </w:r>
          </w:p>
          <w:p w14:paraId="59F1D8A3"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umożliwią farmaceutom tworzenie dodatkowej dokumentacji wspierającej ocenę zasadności i okoliczności wystawienia recepty farmaceutycznej;</w:t>
            </w:r>
          </w:p>
          <w:p w14:paraId="2E10DBD4"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3) wzmocnią przejrzystość postępowań kontrolnych, ograniczając spory o zakres uprawnień i obowiązków dokumentacyjnych.</w:t>
            </w:r>
          </w:p>
          <w:p w14:paraId="57CE1C18"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Niezależnie od propozycji wskazanych w pkt I - III, Naczelna Rada Aptekarska proponuje zatem wprowadzenie poniższych zmian regulacji prawnych:</w:t>
            </w:r>
          </w:p>
          <w:p w14:paraId="1918BAE2"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Szczegółowe uzasadnienie proponowanych poniżej zmian zawarte zostało m. in. w pismach z dnia 23 stycznia 2026 r., L.dz. P-18/2026 oraz z dnia 26 stycznia 2026 r., L.dz.P22/2026, skierowanych do Pana Mateusza Oczkowskiego, Dyrektora Departamentu Polityki Lekowej i Farmacji w Ministerstwie Zdrowia.</w:t>
            </w:r>
          </w:p>
          <w:p w14:paraId="64C634BC" w14:textId="77777777" w:rsidR="0099408E" w:rsidRPr="001941B0" w:rsidRDefault="0099408E"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5. Ustawa o zapobieganiu oraz zwalczaniu zakażeń i chorób zakaźnych u ludzi.</w:t>
            </w:r>
          </w:p>
          <w:p w14:paraId="22E1F8D3"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W ustawie z dnia 5 grudnia 2008 r. o zapobieganiu oraz zwalczaniu zakażeń i chorób zakaźnych u ludzi (Dz. U. z 2023 r. poz. 1284 i 1938) w art. 19 ust. 5a i 5b otrzymują brzmienie:</w:t>
            </w:r>
          </w:p>
          <w:p w14:paraId="5213790A"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„5a. Wykonanie zalecanego szczepienia ochronnego oraz szczepienia przeciw COVID-19 poprzedza się badaniem kwalifikacyjnym w celu wykluczenia przeciwwskazań do wykonania tego szczepienia, które może w każdym przypadku przeprowadzić lekarz lub felczer, a w przypadku:</w:t>
            </w:r>
          </w:p>
          <w:p w14:paraId="50174BEC"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w:t>
            </w:r>
            <w:r w:rsidRPr="001941B0">
              <w:rPr>
                <w:rFonts w:eastAsiaTheme="minorEastAsia"/>
                <w:sz w:val="20"/>
                <w:szCs w:val="20"/>
              </w:rPr>
              <w:tab/>
              <w:t>badania osoby dorosłej, również:</w:t>
            </w:r>
          </w:p>
          <w:p w14:paraId="28C88E07"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w:t>
            </w:r>
            <w:r w:rsidRPr="001941B0">
              <w:rPr>
                <w:rFonts w:eastAsiaTheme="minorEastAsia"/>
                <w:sz w:val="20"/>
                <w:szCs w:val="20"/>
              </w:rPr>
              <w:tab/>
              <w:t>lekarz dentysta, pielęgniarka, położna, ratownik medyczny;</w:t>
            </w:r>
          </w:p>
          <w:p w14:paraId="30FD6E99"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b)</w:t>
            </w:r>
            <w:r w:rsidRPr="001941B0">
              <w:rPr>
                <w:rFonts w:eastAsiaTheme="minorEastAsia"/>
                <w:sz w:val="20"/>
                <w:szCs w:val="20"/>
              </w:rPr>
              <w:tab/>
              <w:t>fizjoterapeuta, diagnosta laboratoryjny lub farmaceuta, który uzyskał dokument potwierdzający ukończenie szkolenia dostępnego na platformie e-learningowej Centrum Medycznego Kształcenia Podyplomowego;</w:t>
            </w:r>
          </w:p>
          <w:p w14:paraId="0588A513"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w:t>
            </w:r>
            <w:r w:rsidRPr="001941B0">
              <w:rPr>
                <w:rFonts w:eastAsiaTheme="minorEastAsia"/>
                <w:sz w:val="20"/>
                <w:szCs w:val="20"/>
              </w:rPr>
              <w:tab/>
              <w:t>badania osoby, która ukończyła 12 rok życia, również farmaceuta posiadający kwalifikacje określone w przepisach wydanych na podstawie art. 17 ust. 10 pkt 3 albo przepisach wydanych na podstawie art. 76 pkt 1 ustawy z dnia 10 grudnia 2020 r. o zawodzie farmaceuty (Dz. U. z 2022 r. poz. 1873 oraz z 2023 r, poz. 1234).</w:t>
            </w:r>
          </w:p>
          <w:p w14:paraId="663173EF"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5b. Zalecane szczepienie ochronne oraz szczepienie przeciw COVID-19 przeprowadza w przypadku:</w:t>
            </w:r>
          </w:p>
          <w:p w14:paraId="12399435"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1)</w:t>
            </w:r>
            <w:r w:rsidRPr="001941B0">
              <w:rPr>
                <w:rFonts w:eastAsiaTheme="minorEastAsia"/>
                <w:sz w:val="20"/>
                <w:szCs w:val="20"/>
              </w:rPr>
              <w:tab/>
              <w:t>każdej osoby dorosłej lekarz, lekarz dentysta, felczer, pielęgniarka, położna, higienistka szkolna, ratownik medyczny, fizjoterapeuta, diagnosta laboratoryjny albo farmaceuta,</w:t>
            </w:r>
          </w:p>
          <w:p w14:paraId="45F77CCF"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w:t>
            </w:r>
            <w:r w:rsidRPr="001941B0">
              <w:rPr>
                <w:rFonts w:eastAsiaTheme="minorEastAsia"/>
                <w:sz w:val="20"/>
                <w:szCs w:val="20"/>
              </w:rPr>
              <w:tab/>
              <w:t>każdej osoby do ukończenia 18. roku życia — lekarz, felczer, pielęgniarka, położna, higienistka szkolna lub ratownik medyczny — posiadający kwalifikacje określone w przepisach wydanych na podstawie art. 17 ust. 10 pkt 3 albo przepisach wydanych na podstawie art. 76 pkt 1 ustawy z dnia 10 grudnia 2020 r. o zawodzie farmaceuty (Dz. U. z 2022 r. poz. 1873 oraz z 2023 r. poz. 1234) lub którzy ukończyli kurs teoretyczny i praktyczny do szczepień, którego program został zatwierdzony przez Centrum Medycznego Kształcenia Podyplomowego;</w:t>
            </w:r>
          </w:p>
          <w:p w14:paraId="427BFCF2" w14:textId="77777777" w:rsidR="0099408E"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3)</w:t>
            </w:r>
            <w:r w:rsidRPr="001941B0">
              <w:rPr>
                <w:rFonts w:eastAsiaTheme="minorEastAsia"/>
                <w:sz w:val="20"/>
                <w:szCs w:val="20"/>
              </w:rPr>
              <w:tab/>
              <w:t xml:space="preserve">osoby, która ukończyła 12 rok życia - również farmaceuta, posiadający kwalifikacje określone w przepisach wydanych na podstawie art. 17 ust. 10 pkt 3 albo przepisach wydanych na podstawie art. 76 pkt 1 ustawy z dnia 10 grudnia 2020 r. o zawodzie farmaceuty (...)” </w:t>
            </w:r>
          </w:p>
          <w:p w14:paraId="29A3B166" w14:textId="77777777" w:rsidR="0099408E" w:rsidRPr="001941B0" w:rsidRDefault="0099408E"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Uzasadnienie</w:t>
            </w:r>
          </w:p>
          <w:p w14:paraId="3B9DB9CC" w14:textId="0093FB20" w:rsidR="001776B8" w:rsidRPr="001941B0" w:rsidRDefault="0099408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Zmiany doprecyzowują i rozszerzają możliwość kwalifikowania do szczepień oraz wykonywania szczepień przez farmaceutów (w szczególności dla osób 12+), przy zachowaniu wymogów kwalifikacyjnych. Celem jest zwiększenie dostępności szczepień i odciążenie innych elementów systemu ochrony zdrowia.</w:t>
            </w:r>
          </w:p>
        </w:tc>
        <w:tc>
          <w:tcPr>
            <w:tcW w:w="2855" w:type="dxa"/>
            <w:shd w:val="clear" w:color="auto" w:fill="FFFFFF" w:themeFill="background1"/>
          </w:tcPr>
          <w:p w14:paraId="1FFB83B8" w14:textId="18649C3A" w:rsidR="00FC134C" w:rsidRPr="001941B0" w:rsidRDefault="00FC134C" w:rsidP="00FC134C">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0EF8DE26" w14:textId="689A66B2" w:rsidR="00FC134C" w:rsidRPr="001941B0" w:rsidRDefault="00FC134C" w:rsidP="00FC134C">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Poza zakresem </w:t>
            </w:r>
            <w:r w:rsidR="00390777" w:rsidRPr="001941B0">
              <w:rPr>
                <w:rFonts w:eastAsiaTheme="minorEastAsia"/>
                <w:sz w:val="20"/>
                <w:szCs w:val="20"/>
              </w:rPr>
              <w:t xml:space="preserve">projektowanej </w:t>
            </w:r>
            <w:r w:rsidRPr="001941B0">
              <w:rPr>
                <w:rFonts w:eastAsiaTheme="minorEastAsia"/>
                <w:sz w:val="20"/>
                <w:szCs w:val="20"/>
              </w:rPr>
              <w:t>regulacji.</w:t>
            </w:r>
          </w:p>
          <w:p w14:paraId="2CEDAAFE" w14:textId="77777777" w:rsidR="001776B8" w:rsidRPr="001941B0" w:rsidRDefault="001776B8" w:rsidP="006E0CB2">
            <w:pPr>
              <w:autoSpaceDE w:val="0"/>
              <w:autoSpaceDN w:val="0"/>
              <w:adjustRightInd w:val="0"/>
              <w:spacing w:after="0" w:line="240" w:lineRule="auto"/>
              <w:rPr>
                <w:rFonts w:eastAsiaTheme="minorEastAsia"/>
                <w:sz w:val="20"/>
                <w:szCs w:val="20"/>
              </w:rPr>
            </w:pPr>
          </w:p>
        </w:tc>
      </w:tr>
      <w:tr w:rsidR="00FC7212" w:rsidRPr="001941B0" w14:paraId="2972E7F2" w14:textId="77777777" w:rsidTr="7139DBB9">
        <w:tc>
          <w:tcPr>
            <w:tcW w:w="1125" w:type="dxa"/>
            <w:shd w:val="clear" w:color="auto" w:fill="FFFFFF" w:themeFill="background1"/>
          </w:tcPr>
          <w:p w14:paraId="1DA00D2C"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0261073" w14:textId="6F3FC8F5" w:rsidR="0063705A" w:rsidRPr="001941B0" w:rsidRDefault="0045316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6F51DFD8" w14:textId="72BC021A" w:rsidR="0063705A" w:rsidRPr="001941B0" w:rsidRDefault="0045316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w:t>
            </w:r>
            <w:r w:rsidR="00074EE7">
              <w:rPr>
                <w:rFonts w:eastAsiaTheme="minorEastAsia"/>
                <w:sz w:val="20"/>
                <w:szCs w:val="20"/>
              </w:rPr>
              <w:t>a</w:t>
            </w:r>
            <w:r w:rsidRPr="001941B0">
              <w:rPr>
                <w:rFonts w:eastAsiaTheme="minorEastAsia"/>
                <w:sz w:val="20"/>
                <w:szCs w:val="20"/>
              </w:rPr>
              <w:t xml:space="preserve"> ogóln</w:t>
            </w:r>
            <w:r w:rsidR="00074EE7">
              <w:rPr>
                <w:rFonts w:eastAsiaTheme="minorEastAsia"/>
                <w:sz w:val="20"/>
                <w:szCs w:val="20"/>
              </w:rPr>
              <w:t>a</w:t>
            </w:r>
          </w:p>
        </w:tc>
        <w:tc>
          <w:tcPr>
            <w:tcW w:w="5652" w:type="dxa"/>
            <w:shd w:val="clear" w:color="auto" w:fill="FFFFFF" w:themeFill="background1"/>
          </w:tcPr>
          <w:p w14:paraId="36342116" w14:textId="77777777" w:rsidR="000F5B5E" w:rsidRPr="001941B0" w:rsidRDefault="000F5B5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Pozytywnie oceniamy kierunek dalszego rozwoju usług e</w:t>
            </w:r>
            <w:r w:rsidRPr="001941B0">
              <w:rPr>
                <w:rFonts w:eastAsiaTheme="minorEastAsia"/>
                <w:sz w:val="20"/>
                <w:szCs w:val="20"/>
              </w:rPr>
              <w:noBreakHyphen/>
              <w:t xml:space="preserve">zdrowia. Proponowane rozwiązania, w szczególności utworzenie modułu </w:t>
            </w:r>
            <w:r w:rsidRPr="001941B0">
              <w:rPr>
                <w:rFonts w:eastAsiaTheme="minorEastAsia"/>
                <w:b/>
                <w:bCs/>
                <w:sz w:val="20"/>
                <w:szCs w:val="20"/>
              </w:rPr>
              <w:t>Domowej Opieki Medycznej (DOM)</w:t>
            </w:r>
            <w:r w:rsidRPr="001941B0">
              <w:rPr>
                <w:rFonts w:eastAsiaTheme="minorEastAsia"/>
                <w:sz w:val="20"/>
                <w:szCs w:val="20"/>
              </w:rPr>
              <w:t xml:space="preserve"> w Systemie Informacji Medycznej, stanowią ważny krok w stronę bardziej nowoczesnej, dostępnej i bezpiecznej opieki nad osobami niesamodzielnymi i przewlekle chorymi, przebywającymi w swoim środowisku, wymagającymi stałego wsparcia.</w:t>
            </w:r>
          </w:p>
          <w:p w14:paraId="08E60B4F" w14:textId="77777777" w:rsidR="000F5B5E" w:rsidRPr="001941B0" w:rsidRDefault="000F5B5E" w:rsidP="006E0CB2">
            <w:pPr>
              <w:autoSpaceDE w:val="0"/>
              <w:autoSpaceDN w:val="0"/>
              <w:adjustRightInd w:val="0"/>
              <w:spacing w:after="0" w:line="240" w:lineRule="auto"/>
              <w:rPr>
                <w:rFonts w:eastAsiaTheme="minorEastAsia"/>
                <w:sz w:val="20"/>
                <w:szCs w:val="20"/>
              </w:rPr>
            </w:pPr>
          </w:p>
          <w:p w14:paraId="7C4C7FA8" w14:textId="77777777" w:rsidR="000F5B5E" w:rsidRPr="001941B0" w:rsidRDefault="000F5B5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Doceniamy, że projekt realnie wzmacnia narzędzia zdalnego monitorowania pacjentów, które - odpowiednio wdrożone - mogą podnieść poziom bezpieczeństwa klinicznego, poprawić jakość życia chorych oraz wesprzeć bliskich i profesjonalnych opiekunów. Kierunek ten jest spójny zarówno z europejskimi trendami cyfryzacji opieki, jak i z potrzebami pacjentów w Polsce.</w:t>
            </w:r>
          </w:p>
          <w:p w14:paraId="1DCA4572" w14:textId="77777777" w:rsidR="000F5B5E" w:rsidRPr="001941B0" w:rsidRDefault="000F5B5E" w:rsidP="006E0CB2">
            <w:pPr>
              <w:autoSpaceDE w:val="0"/>
              <w:autoSpaceDN w:val="0"/>
              <w:adjustRightInd w:val="0"/>
              <w:spacing w:after="0" w:line="240" w:lineRule="auto"/>
              <w:rPr>
                <w:rFonts w:eastAsiaTheme="minorEastAsia"/>
                <w:sz w:val="20"/>
                <w:szCs w:val="20"/>
              </w:rPr>
            </w:pPr>
          </w:p>
          <w:p w14:paraId="73D6F22A" w14:textId="77777777" w:rsidR="000F5B5E" w:rsidRPr="001941B0" w:rsidRDefault="000F5B5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Jednocześnie należy podkreślić, że projekt ustawy powstaje w kontekście wyzwań, które od lat dotyczyły systemu opieki długoterminowej, w tym opieki domowej i jest odpowiedzią na </w:t>
            </w:r>
            <w:r w:rsidRPr="001941B0">
              <w:rPr>
                <w:rFonts w:eastAsiaTheme="minorEastAsia"/>
                <w:b/>
                <w:bCs/>
                <w:sz w:val="20"/>
                <w:szCs w:val="20"/>
              </w:rPr>
              <w:t>wieloletnie, narastające braki kadry opiekuńczej</w:t>
            </w:r>
            <w:r w:rsidRPr="001941B0">
              <w:rPr>
                <w:rFonts w:eastAsiaTheme="minorEastAsia"/>
                <w:sz w:val="20"/>
                <w:szCs w:val="20"/>
              </w:rPr>
              <w:t>, wynikające m.in. z popełnionych w ostatnich kilkunastu latach błędów i zaniechań regulacyjnych w zakresie planowania zasobów, finansowania oraz organizacji opieki długoterminowej.</w:t>
            </w:r>
          </w:p>
          <w:p w14:paraId="1815279A" w14:textId="77777777" w:rsidR="000F5B5E" w:rsidRPr="001941B0" w:rsidRDefault="000F5B5E" w:rsidP="006E0CB2">
            <w:pPr>
              <w:autoSpaceDE w:val="0"/>
              <w:autoSpaceDN w:val="0"/>
              <w:adjustRightInd w:val="0"/>
              <w:spacing w:after="0" w:line="240" w:lineRule="auto"/>
              <w:rPr>
                <w:rFonts w:eastAsiaTheme="minorEastAsia"/>
                <w:sz w:val="20"/>
                <w:szCs w:val="20"/>
              </w:rPr>
            </w:pPr>
          </w:p>
          <w:p w14:paraId="7E9CF99C" w14:textId="77777777" w:rsidR="000F5B5E" w:rsidRPr="001941B0" w:rsidRDefault="000F5B5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Jednym z istotnych przykładów jest przygotowany w 2023 roku i do dziś nie wdrożony </w:t>
            </w:r>
            <w:r w:rsidRPr="001941B0">
              <w:rPr>
                <w:rFonts w:eastAsiaTheme="minorEastAsia"/>
                <w:b/>
                <w:bCs/>
                <w:sz w:val="20"/>
                <w:szCs w:val="20"/>
              </w:rPr>
              <w:t>nowy model świadczenia domowej wentylacji mechanicznej</w:t>
            </w:r>
            <w:r w:rsidRPr="001941B0">
              <w:rPr>
                <w:rFonts w:eastAsiaTheme="minorEastAsia"/>
                <w:sz w:val="20"/>
                <w:szCs w:val="20"/>
              </w:rPr>
              <w:t xml:space="preserve">. Rozwiązanie to, uwzględniające stały telemonitoring mogłoby odciążyć rodziny pacjentów wentylowanych mechanicznie w domach, zmniejszyć obciążenie personelu medycznego oraz zapewnić bezpieczeństwo kliniczne dzięki stałemu monitoringowi parametrów. </w:t>
            </w:r>
          </w:p>
          <w:p w14:paraId="6720DE7D" w14:textId="77777777" w:rsidR="000F5B5E" w:rsidRPr="001941B0" w:rsidRDefault="000F5B5E" w:rsidP="006E0CB2">
            <w:pPr>
              <w:autoSpaceDE w:val="0"/>
              <w:autoSpaceDN w:val="0"/>
              <w:adjustRightInd w:val="0"/>
              <w:spacing w:after="0" w:line="240" w:lineRule="auto"/>
              <w:rPr>
                <w:rFonts w:eastAsiaTheme="minorEastAsia"/>
                <w:sz w:val="20"/>
                <w:szCs w:val="20"/>
              </w:rPr>
            </w:pPr>
          </w:p>
          <w:p w14:paraId="73045552" w14:textId="77777777" w:rsidR="000F5B5E" w:rsidRPr="001941B0" w:rsidRDefault="000F5B5E" w:rsidP="006E0CB2">
            <w:pPr>
              <w:autoSpaceDE w:val="0"/>
              <w:autoSpaceDN w:val="0"/>
              <w:adjustRightInd w:val="0"/>
              <w:spacing w:after="0" w:line="240" w:lineRule="auto"/>
              <w:rPr>
                <w:rFonts w:eastAsiaTheme="minorEastAsia"/>
                <w:b/>
                <w:bCs/>
                <w:sz w:val="20"/>
                <w:szCs w:val="20"/>
              </w:rPr>
            </w:pPr>
            <w:r w:rsidRPr="001941B0">
              <w:rPr>
                <w:rFonts w:eastAsiaTheme="minorEastAsia"/>
                <w:sz w:val="20"/>
                <w:szCs w:val="20"/>
              </w:rPr>
              <w:t xml:space="preserve">Podobny błąd zaniechania zauważamy w </w:t>
            </w:r>
            <w:r w:rsidRPr="001941B0">
              <w:rPr>
                <w:rFonts w:eastAsiaTheme="minorEastAsia"/>
                <w:b/>
                <w:bCs/>
                <w:sz w:val="20"/>
                <w:szCs w:val="20"/>
              </w:rPr>
              <w:t xml:space="preserve"> zespole pielęgniarskiej opieki długoterminowej domowej (PODD)</w:t>
            </w:r>
            <w:r w:rsidRPr="001941B0">
              <w:rPr>
                <w:rFonts w:eastAsiaTheme="minorEastAsia"/>
                <w:sz w:val="20"/>
                <w:szCs w:val="20"/>
              </w:rPr>
              <w:t xml:space="preserve">. Niedopuszczenie opiekuna medycznego do zespołu PODD utrwala niedobory kadrowe i ogranicza zakres realnie dostępnych świadczeń dla pacjentów niezdolnych do samodzielnej egzystencji. W naszej ocenie to jeden z najbardziej oczywistych i potrzebnych kierunków wzmocnienia zespołów opieki domowej. </w:t>
            </w:r>
          </w:p>
          <w:p w14:paraId="33055A08" w14:textId="49B490F8" w:rsidR="0063705A" w:rsidRPr="001941B0" w:rsidRDefault="000F5B5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 zadowoleniem przyjmujemy fakt, że obecne działania legislacyjne podejmują próbę uporządkowania i modernizacji tego obszaru, wykorzystując technologie cyfrowe i telemonitoring jako elementy wspierające personel medyczny i opiekunów. Jednocześnie chcemy podkreślić, że skuteczność planowanych działań będzie zależeć od zapewnienia odpowiednich narzędzi dla pacjentów wymagających długoterminowej opieki oraz ich opiekunów - tak, aby mogli w pełni korzystać z rozwiązań cyfrowych. </w:t>
            </w:r>
          </w:p>
        </w:tc>
        <w:tc>
          <w:tcPr>
            <w:tcW w:w="2855" w:type="dxa"/>
            <w:shd w:val="clear" w:color="auto" w:fill="FFFFFF" w:themeFill="background1"/>
          </w:tcPr>
          <w:p w14:paraId="6CA946C8" w14:textId="77777777" w:rsidR="0063705A" w:rsidRPr="001941B0" w:rsidRDefault="002772D7"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o charakterze komentarza</w:t>
            </w:r>
          </w:p>
          <w:p w14:paraId="6F5BA26B" w14:textId="4E97DFA2" w:rsidR="00895246" w:rsidRPr="001941B0" w:rsidRDefault="00895246" w:rsidP="006E0CB2">
            <w:pPr>
              <w:autoSpaceDE w:val="0"/>
              <w:autoSpaceDN w:val="0"/>
              <w:adjustRightInd w:val="0"/>
              <w:spacing w:after="0" w:line="240" w:lineRule="auto"/>
              <w:rPr>
                <w:rFonts w:eastAsiaTheme="minorEastAsia"/>
                <w:b/>
                <w:sz w:val="20"/>
                <w:szCs w:val="20"/>
              </w:rPr>
            </w:pPr>
          </w:p>
        </w:tc>
      </w:tr>
      <w:tr w:rsidR="00FC7212" w:rsidRPr="001941B0" w14:paraId="5BF4D908" w14:textId="77777777" w:rsidTr="7139DBB9">
        <w:tc>
          <w:tcPr>
            <w:tcW w:w="1125" w:type="dxa"/>
            <w:shd w:val="clear" w:color="auto" w:fill="FFFFFF" w:themeFill="background1"/>
          </w:tcPr>
          <w:p w14:paraId="3838F92B" w14:textId="77777777" w:rsidR="00655571" w:rsidRPr="001941B0" w:rsidRDefault="0065557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CBBC0AE" w14:textId="616CC2A7" w:rsidR="00655571" w:rsidRPr="001941B0" w:rsidRDefault="0065557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49DBE027" w14:textId="640DCC81" w:rsidR="00655571" w:rsidRPr="001941B0" w:rsidRDefault="00074EE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w:t>
            </w:r>
            <w:r>
              <w:rPr>
                <w:rFonts w:eastAsiaTheme="minorEastAsia"/>
                <w:sz w:val="20"/>
                <w:szCs w:val="20"/>
              </w:rPr>
              <w:t>a</w:t>
            </w:r>
            <w:r w:rsidRPr="001941B0">
              <w:rPr>
                <w:rFonts w:eastAsiaTheme="minorEastAsia"/>
                <w:sz w:val="20"/>
                <w:szCs w:val="20"/>
              </w:rPr>
              <w:t xml:space="preserve"> ogóln</w:t>
            </w:r>
            <w:r>
              <w:rPr>
                <w:rFonts w:eastAsiaTheme="minorEastAsia"/>
                <w:sz w:val="20"/>
                <w:szCs w:val="20"/>
              </w:rPr>
              <w:t>a</w:t>
            </w:r>
            <w:r w:rsidRPr="001941B0">
              <w:rPr>
                <w:rFonts w:eastAsiaTheme="minorEastAsia"/>
                <w:sz w:val="20"/>
                <w:szCs w:val="20"/>
              </w:rPr>
              <w:t xml:space="preserve"> </w:t>
            </w:r>
          </w:p>
        </w:tc>
        <w:tc>
          <w:tcPr>
            <w:tcW w:w="5652" w:type="dxa"/>
            <w:shd w:val="clear" w:color="auto" w:fill="FFFFFF" w:themeFill="background1"/>
          </w:tcPr>
          <w:p w14:paraId="0C2D8E26" w14:textId="77777777" w:rsidR="002C3C77" w:rsidRPr="001941B0" w:rsidRDefault="002C3C77" w:rsidP="006E0CB2">
            <w:pPr>
              <w:numPr>
                <w:ilvl w:val="0"/>
                <w:numId w:val="33"/>
              </w:num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Wzmocnienie udziału osób niesamodzielnych w systemie DOM</w:t>
            </w:r>
          </w:p>
          <w:p w14:paraId="4AB30F70" w14:textId="77777777" w:rsidR="002C3C77" w:rsidRPr="001941B0" w:rsidRDefault="002C3C77" w:rsidP="006E0CB2">
            <w:pPr>
              <w:autoSpaceDE w:val="0"/>
              <w:autoSpaceDN w:val="0"/>
              <w:adjustRightInd w:val="0"/>
              <w:spacing w:after="0" w:line="240" w:lineRule="auto"/>
              <w:rPr>
                <w:rFonts w:eastAsiaTheme="minorEastAsia"/>
                <w:sz w:val="20"/>
                <w:szCs w:val="20"/>
              </w:rPr>
            </w:pPr>
          </w:p>
          <w:p w14:paraId="13330546" w14:textId="667DC26E" w:rsidR="00655571" w:rsidRPr="001941B0" w:rsidRDefault="002C3C7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Proponujemy, aby ustawa jednoznacznie wskazywała, że system DOM uwzględnia specyficzne potrzeby osób, które nie mogą samodzielnie obsługiwać IKP, m.in. poprzez mechanizmy udziału pełnomocników i opiekunów faktycznych.</w:t>
            </w:r>
          </w:p>
        </w:tc>
        <w:tc>
          <w:tcPr>
            <w:tcW w:w="2855" w:type="dxa"/>
            <w:shd w:val="clear" w:color="auto" w:fill="FFFFFF" w:themeFill="background1"/>
          </w:tcPr>
          <w:p w14:paraId="7C68963C" w14:textId="77777777" w:rsidR="00655571" w:rsidRPr="001941B0" w:rsidRDefault="006922D4"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Wyjaśnienie</w:t>
            </w:r>
          </w:p>
          <w:p w14:paraId="275DFE63" w14:textId="77EAB168" w:rsidR="00655571" w:rsidRPr="001941B0" w:rsidRDefault="006922D4"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Projektowan</w:t>
            </w:r>
            <w:r w:rsidR="00B6686D" w:rsidRPr="001941B0">
              <w:rPr>
                <w:rFonts w:eastAsiaTheme="minorEastAsia"/>
                <w:sz w:val="20"/>
                <w:szCs w:val="20"/>
              </w:rPr>
              <w:t>y</w:t>
            </w:r>
            <w:r w:rsidRPr="001941B0">
              <w:rPr>
                <w:rFonts w:eastAsiaTheme="minorEastAsia"/>
                <w:sz w:val="20"/>
                <w:szCs w:val="20"/>
              </w:rPr>
              <w:t xml:space="preserve"> system z założenia nie wyklucza osó</w:t>
            </w:r>
            <w:r w:rsidR="00612F9C" w:rsidRPr="001941B0">
              <w:rPr>
                <w:rFonts w:eastAsiaTheme="minorEastAsia"/>
                <w:sz w:val="20"/>
                <w:szCs w:val="20"/>
              </w:rPr>
              <w:t>b korzystających z opiekunów/pełnomocników</w:t>
            </w:r>
            <w:r w:rsidR="0085039E" w:rsidRPr="001941B0">
              <w:rPr>
                <w:rFonts w:eastAsiaTheme="minorEastAsia"/>
                <w:sz w:val="20"/>
                <w:szCs w:val="20"/>
              </w:rPr>
              <w:t xml:space="preserve">, a wręcz uwzględnia </w:t>
            </w:r>
            <w:r w:rsidR="0000469E" w:rsidRPr="001941B0">
              <w:rPr>
                <w:rFonts w:eastAsiaTheme="minorEastAsia"/>
                <w:sz w:val="20"/>
                <w:szCs w:val="20"/>
              </w:rPr>
              <w:t>specyficzne potrzeby osób niesamodzielnych</w:t>
            </w:r>
            <w:r w:rsidR="00612F9C" w:rsidRPr="001941B0">
              <w:rPr>
                <w:rFonts w:eastAsiaTheme="minorEastAsia"/>
                <w:sz w:val="20"/>
                <w:szCs w:val="20"/>
              </w:rPr>
              <w:t>.</w:t>
            </w:r>
          </w:p>
        </w:tc>
      </w:tr>
      <w:tr w:rsidR="00FC7212" w:rsidRPr="001941B0" w14:paraId="6B5C2E0D" w14:textId="77777777" w:rsidTr="7139DBB9">
        <w:tc>
          <w:tcPr>
            <w:tcW w:w="1125" w:type="dxa"/>
            <w:shd w:val="clear" w:color="auto" w:fill="FFFFFF" w:themeFill="background1"/>
          </w:tcPr>
          <w:p w14:paraId="5B36E32B" w14:textId="77777777" w:rsidR="00655571" w:rsidRPr="001941B0" w:rsidRDefault="0065557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3B5CB99" w14:textId="33E5EF62" w:rsidR="00655571" w:rsidRPr="001941B0" w:rsidRDefault="0065557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5050AAC3" w14:textId="7A4CDBB5" w:rsidR="00655571" w:rsidRPr="001941B0" w:rsidRDefault="00074EE7" w:rsidP="006E0CB2">
            <w:pPr>
              <w:autoSpaceDE w:val="0"/>
              <w:autoSpaceDN w:val="0"/>
              <w:adjustRightInd w:val="0"/>
              <w:spacing w:after="0" w:line="240" w:lineRule="auto"/>
              <w:rPr>
                <w:rFonts w:eastAsiaTheme="minorEastAsia"/>
                <w:b/>
                <w:sz w:val="20"/>
                <w:szCs w:val="20"/>
              </w:rPr>
            </w:pPr>
            <w:r w:rsidRPr="001941B0">
              <w:rPr>
                <w:rFonts w:eastAsiaTheme="minorEastAsia"/>
                <w:sz w:val="20"/>
                <w:szCs w:val="20"/>
              </w:rPr>
              <w:t>Uwag</w:t>
            </w:r>
            <w:r>
              <w:rPr>
                <w:rFonts w:eastAsiaTheme="minorEastAsia"/>
                <w:sz w:val="20"/>
                <w:szCs w:val="20"/>
              </w:rPr>
              <w:t>a</w:t>
            </w:r>
            <w:r w:rsidRPr="001941B0">
              <w:rPr>
                <w:rFonts w:eastAsiaTheme="minorEastAsia"/>
                <w:sz w:val="20"/>
                <w:szCs w:val="20"/>
              </w:rPr>
              <w:t xml:space="preserve"> ogóln</w:t>
            </w:r>
            <w:r>
              <w:rPr>
                <w:rFonts w:eastAsiaTheme="minorEastAsia"/>
                <w:sz w:val="20"/>
                <w:szCs w:val="20"/>
              </w:rPr>
              <w:t>a</w:t>
            </w:r>
          </w:p>
        </w:tc>
        <w:tc>
          <w:tcPr>
            <w:tcW w:w="5652" w:type="dxa"/>
            <w:shd w:val="clear" w:color="auto" w:fill="FFFFFF" w:themeFill="background1"/>
          </w:tcPr>
          <w:p w14:paraId="265E4C02" w14:textId="77777777" w:rsidR="003478DE" w:rsidRPr="001941B0" w:rsidRDefault="003478DE" w:rsidP="006E0CB2">
            <w:pPr>
              <w:pStyle w:val="Akapitzlist"/>
              <w:numPr>
                <w:ilvl w:val="0"/>
                <w:numId w:val="33"/>
              </w:num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Wprowadzenie pełnomocnictwa cyfrowego w zakresie DOM</w:t>
            </w:r>
          </w:p>
          <w:p w14:paraId="0A96A280" w14:textId="77777777" w:rsidR="003478DE" w:rsidRPr="001941B0" w:rsidRDefault="003478DE" w:rsidP="006E0CB2">
            <w:pPr>
              <w:autoSpaceDE w:val="0"/>
              <w:autoSpaceDN w:val="0"/>
              <w:adjustRightInd w:val="0"/>
              <w:spacing w:after="0" w:line="240" w:lineRule="auto"/>
              <w:rPr>
                <w:rFonts w:eastAsiaTheme="minorEastAsia"/>
                <w:sz w:val="20"/>
                <w:szCs w:val="20"/>
              </w:rPr>
            </w:pPr>
          </w:p>
          <w:p w14:paraId="41B3D02F" w14:textId="730F1D89" w:rsidR="00655571" w:rsidRPr="001941B0" w:rsidRDefault="003478D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Rekomendujemy umożliwienie potwierdzania alertów i komunikatów przez pełnomocnika oraz nadawania uprawnień rodzinie, opiekunom medycznym lub asystentom. Rozwiązanie to zapobiegnie wykluczeniu osób najbardziej wymagających monitorowania.</w:t>
            </w:r>
          </w:p>
        </w:tc>
        <w:tc>
          <w:tcPr>
            <w:tcW w:w="2855" w:type="dxa"/>
            <w:shd w:val="clear" w:color="auto" w:fill="FFFFFF" w:themeFill="background1"/>
          </w:tcPr>
          <w:p w14:paraId="5259366A" w14:textId="558DC178" w:rsidR="005C35FD" w:rsidRPr="001941B0" w:rsidRDefault="005C35FD"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Wyjaśnienie</w:t>
            </w:r>
          </w:p>
          <w:p w14:paraId="2EE369A2" w14:textId="23632A41" w:rsidR="00826448" w:rsidRPr="001941B0" w:rsidRDefault="00826448" w:rsidP="00826448">
            <w:pPr>
              <w:autoSpaceDE w:val="0"/>
              <w:autoSpaceDN w:val="0"/>
              <w:adjustRightInd w:val="0"/>
              <w:spacing w:after="0" w:line="240" w:lineRule="auto"/>
              <w:rPr>
                <w:rFonts w:eastAsiaTheme="minorEastAsia"/>
                <w:sz w:val="20"/>
                <w:szCs w:val="20"/>
              </w:rPr>
            </w:pPr>
            <w:r w:rsidRPr="001941B0">
              <w:rPr>
                <w:rFonts w:eastAsiaTheme="minorEastAsia"/>
                <w:sz w:val="20"/>
                <w:szCs w:val="20"/>
              </w:rPr>
              <w:t>System DOM będzie działał zgodnie z aktualnie obowiązującymi zasadami dostępu użytkowników uprawnionych do IKP</w:t>
            </w:r>
            <w:r w:rsidR="00295E92" w:rsidRPr="001941B0">
              <w:rPr>
                <w:rFonts w:eastAsiaTheme="minorEastAsia"/>
                <w:sz w:val="20"/>
                <w:szCs w:val="20"/>
              </w:rPr>
              <w:t>.</w:t>
            </w:r>
          </w:p>
          <w:p w14:paraId="2A4670A5" w14:textId="73AE21C2" w:rsidR="00655571" w:rsidRPr="001941B0" w:rsidRDefault="00511E2B"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t>
            </w:r>
          </w:p>
        </w:tc>
      </w:tr>
      <w:tr w:rsidR="00FC7212" w:rsidRPr="001941B0" w14:paraId="16AEB21B" w14:textId="77777777" w:rsidTr="7139DBB9">
        <w:tc>
          <w:tcPr>
            <w:tcW w:w="1125" w:type="dxa"/>
            <w:shd w:val="clear" w:color="auto" w:fill="FFFFFF" w:themeFill="background1"/>
          </w:tcPr>
          <w:p w14:paraId="4E18B1B4" w14:textId="77777777" w:rsidR="00655571" w:rsidRPr="001941B0" w:rsidRDefault="0065557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466318A" w14:textId="744E2BBA" w:rsidR="00655571" w:rsidRPr="001941B0" w:rsidRDefault="0065557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7F874B3A" w14:textId="54A21712" w:rsidR="00655571" w:rsidRPr="001941B0" w:rsidRDefault="00074EE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w:t>
            </w:r>
            <w:r>
              <w:rPr>
                <w:rFonts w:eastAsiaTheme="minorEastAsia"/>
                <w:sz w:val="20"/>
                <w:szCs w:val="20"/>
              </w:rPr>
              <w:t>a</w:t>
            </w:r>
            <w:r w:rsidRPr="001941B0">
              <w:rPr>
                <w:rFonts w:eastAsiaTheme="minorEastAsia"/>
                <w:sz w:val="20"/>
                <w:szCs w:val="20"/>
              </w:rPr>
              <w:t xml:space="preserve"> ogóln</w:t>
            </w:r>
            <w:r>
              <w:rPr>
                <w:rFonts w:eastAsiaTheme="minorEastAsia"/>
                <w:sz w:val="20"/>
                <w:szCs w:val="20"/>
              </w:rPr>
              <w:t>a</w:t>
            </w:r>
          </w:p>
        </w:tc>
        <w:tc>
          <w:tcPr>
            <w:tcW w:w="5652" w:type="dxa"/>
            <w:shd w:val="clear" w:color="auto" w:fill="FFFFFF" w:themeFill="background1"/>
          </w:tcPr>
          <w:p w14:paraId="5E3D1C6B" w14:textId="62960A91" w:rsidR="00367B18" w:rsidRPr="001941B0" w:rsidRDefault="00367B18" w:rsidP="006E0CB2">
            <w:pPr>
              <w:pStyle w:val="Akapitzlist"/>
              <w:numPr>
                <w:ilvl w:val="0"/>
                <w:numId w:val="33"/>
              </w:num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Automatyczna transmisja danych z urządzeń medycznych</w:t>
            </w:r>
          </w:p>
          <w:p w14:paraId="6978197F" w14:textId="77777777" w:rsidR="00367B18" w:rsidRPr="001941B0" w:rsidRDefault="00367B18" w:rsidP="006E0CB2">
            <w:pPr>
              <w:autoSpaceDE w:val="0"/>
              <w:autoSpaceDN w:val="0"/>
              <w:adjustRightInd w:val="0"/>
              <w:spacing w:after="0" w:line="240" w:lineRule="auto"/>
              <w:rPr>
                <w:rFonts w:eastAsiaTheme="minorEastAsia"/>
                <w:sz w:val="20"/>
                <w:szCs w:val="20"/>
              </w:rPr>
            </w:pPr>
          </w:p>
          <w:p w14:paraId="3F771B2B" w14:textId="77777777" w:rsidR="00367B18" w:rsidRPr="001941B0" w:rsidRDefault="00367B1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Dla pacjentów niesamodzielnych kluczowa jest jak największa automatyzacja procesu przekazywania danych, z minimalnym wymogiem obsługi technicznej.</w:t>
            </w:r>
          </w:p>
          <w:p w14:paraId="045DF6F2" w14:textId="77777777" w:rsidR="00655571" w:rsidRPr="001941B0" w:rsidRDefault="00655571" w:rsidP="006E0CB2">
            <w:pPr>
              <w:autoSpaceDE w:val="0"/>
              <w:autoSpaceDN w:val="0"/>
              <w:adjustRightInd w:val="0"/>
              <w:spacing w:after="0" w:line="240" w:lineRule="auto"/>
              <w:rPr>
                <w:rFonts w:eastAsiaTheme="minorEastAsia"/>
                <w:sz w:val="20"/>
                <w:szCs w:val="20"/>
              </w:rPr>
            </w:pPr>
          </w:p>
        </w:tc>
        <w:tc>
          <w:tcPr>
            <w:tcW w:w="2855" w:type="dxa"/>
            <w:shd w:val="clear" w:color="auto" w:fill="FFFFFF" w:themeFill="background1"/>
          </w:tcPr>
          <w:p w14:paraId="267397F9" w14:textId="16540756" w:rsidR="00655571" w:rsidRPr="001941B0" w:rsidRDefault="00EB2194"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Wyjaśnienie</w:t>
            </w:r>
          </w:p>
          <w:p w14:paraId="23D75398" w14:textId="4731D4ED" w:rsidR="00655571" w:rsidRPr="001941B0" w:rsidRDefault="005773C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ramach systemu DOM planowana jest integracja </w:t>
            </w:r>
            <w:r w:rsidR="00ED0407" w:rsidRPr="001941B0">
              <w:rPr>
                <w:rFonts w:eastAsiaTheme="minorEastAsia"/>
                <w:sz w:val="20"/>
                <w:szCs w:val="20"/>
              </w:rPr>
              <w:t xml:space="preserve">z </w:t>
            </w:r>
            <w:r w:rsidR="00EB2194" w:rsidRPr="001941B0">
              <w:rPr>
                <w:rFonts w:eastAsiaTheme="minorEastAsia"/>
                <w:sz w:val="20"/>
                <w:szCs w:val="20"/>
              </w:rPr>
              <w:t>interfejs</w:t>
            </w:r>
            <w:r w:rsidR="00ED0407" w:rsidRPr="001941B0">
              <w:rPr>
                <w:rFonts w:eastAsiaTheme="minorEastAsia"/>
                <w:sz w:val="20"/>
                <w:szCs w:val="20"/>
              </w:rPr>
              <w:t>ami dostawców</w:t>
            </w:r>
            <w:r w:rsidR="00F52DC2" w:rsidRPr="001941B0">
              <w:rPr>
                <w:rFonts w:eastAsiaTheme="minorEastAsia"/>
                <w:sz w:val="20"/>
                <w:szCs w:val="20"/>
              </w:rPr>
              <w:t xml:space="preserve"> wyrobów medycznych i produktów wellnesowych</w:t>
            </w:r>
            <w:r w:rsidR="00CD244F" w:rsidRPr="001941B0">
              <w:rPr>
                <w:rFonts w:eastAsiaTheme="minorEastAsia"/>
                <w:sz w:val="20"/>
                <w:szCs w:val="20"/>
              </w:rPr>
              <w:t xml:space="preserve">. </w:t>
            </w:r>
            <w:r w:rsidR="001B0131" w:rsidRPr="001941B0">
              <w:rPr>
                <w:rFonts w:eastAsiaTheme="minorEastAsia"/>
                <w:sz w:val="20"/>
                <w:szCs w:val="20"/>
              </w:rPr>
              <w:t>Docelowo z</w:t>
            </w:r>
            <w:r w:rsidR="00CD244F" w:rsidRPr="001941B0">
              <w:rPr>
                <w:rFonts w:eastAsiaTheme="minorEastAsia"/>
                <w:sz w:val="20"/>
                <w:szCs w:val="20"/>
              </w:rPr>
              <w:t>akładan</w:t>
            </w:r>
            <w:r w:rsidR="00B6686D" w:rsidRPr="001941B0">
              <w:rPr>
                <w:rFonts w:eastAsiaTheme="minorEastAsia"/>
                <w:sz w:val="20"/>
                <w:szCs w:val="20"/>
              </w:rPr>
              <w:t>a</w:t>
            </w:r>
            <w:r w:rsidR="00CD244F" w:rsidRPr="001941B0">
              <w:rPr>
                <w:rFonts w:eastAsiaTheme="minorEastAsia"/>
                <w:sz w:val="20"/>
                <w:szCs w:val="20"/>
              </w:rPr>
              <w:t xml:space="preserve"> jest </w:t>
            </w:r>
            <w:r w:rsidR="003B0304" w:rsidRPr="001941B0">
              <w:rPr>
                <w:rFonts w:eastAsiaTheme="minorEastAsia"/>
                <w:sz w:val="20"/>
                <w:szCs w:val="20"/>
              </w:rPr>
              <w:t>możliwie maksymalna automatyzacja</w:t>
            </w:r>
            <w:r w:rsidR="009E26B4" w:rsidRPr="001941B0">
              <w:rPr>
                <w:rFonts w:eastAsiaTheme="minorEastAsia"/>
                <w:sz w:val="20"/>
                <w:szCs w:val="20"/>
              </w:rPr>
              <w:t xml:space="preserve"> z uwzględnieniem ograniczeń specyfiki osadzenia DOM w SIM</w:t>
            </w:r>
            <w:r w:rsidR="003B0304" w:rsidRPr="001941B0">
              <w:rPr>
                <w:rFonts w:eastAsiaTheme="minorEastAsia"/>
                <w:sz w:val="20"/>
                <w:szCs w:val="20"/>
              </w:rPr>
              <w:t>.</w:t>
            </w:r>
          </w:p>
        </w:tc>
      </w:tr>
      <w:tr w:rsidR="00FC7212" w:rsidRPr="001941B0" w14:paraId="6A7BD474" w14:textId="77777777" w:rsidTr="7139DBB9">
        <w:tc>
          <w:tcPr>
            <w:tcW w:w="1125" w:type="dxa"/>
            <w:shd w:val="clear" w:color="auto" w:fill="FFFFFF" w:themeFill="background1"/>
          </w:tcPr>
          <w:p w14:paraId="46F37F03" w14:textId="77777777" w:rsidR="00655571" w:rsidRPr="001941B0" w:rsidRDefault="0065557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65C81B1" w14:textId="5B56A8EF" w:rsidR="00655571" w:rsidRPr="001941B0" w:rsidRDefault="0065557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25E8107C" w14:textId="53200EF2" w:rsidR="00655571" w:rsidRPr="001941B0" w:rsidRDefault="00074EE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w:t>
            </w:r>
            <w:r>
              <w:rPr>
                <w:rFonts w:eastAsiaTheme="minorEastAsia"/>
                <w:sz w:val="20"/>
                <w:szCs w:val="20"/>
              </w:rPr>
              <w:t>a</w:t>
            </w:r>
            <w:r w:rsidRPr="001941B0">
              <w:rPr>
                <w:rFonts w:eastAsiaTheme="minorEastAsia"/>
                <w:sz w:val="20"/>
                <w:szCs w:val="20"/>
              </w:rPr>
              <w:t xml:space="preserve"> ogóln</w:t>
            </w:r>
            <w:r>
              <w:rPr>
                <w:rFonts w:eastAsiaTheme="minorEastAsia"/>
                <w:sz w:val="20"/>
                <w:szCs w:val="20"/>
              </w:rPr>
              <w:t>a</w:t>
            </w:r>
          </w:p>
        </w:tc>
        <w:tc>
          <w:tcPr>
            <w:tcW w:w="5652" w:type="dxa"/>
            <w:shd w:val="clear" w:color="auto" w:fill="FFFFFF" w:themeFill="background1"/>
          </w:tcPr>
          <w:p w14:paraId="3C811C3C" w14:textId="77777777" w:rsidR="00177FBC" w:rsidRPr="001941B0" w:rsidRDefault="00177FBC" w:rsidP="006E0CB2">
            <w:pPr>
              <w:numPr>
                <w:ilvl w:val="0"/>
                <w:numId w:val="33"/>
              </w:num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Doprecyzowanie zakresu danych przekazywanych przez podmioty wprowadzające refundowane wyroby medyczne</w:t>
            </w:r>
          </w:p>
          <w:p w14:paraId="402501D7" w14:textId="77777777" w:rsidR="00177FBC" w:rsidRPr="001941B0" w:rsidRDefault="00177FBC" w:rsidP="006E0CB2">
            <w:pPr>
              <w:autoSpaceDE w:val="0"/>
              <w:autoSpaceDN w:val="0"/>
              <w:adjustRightInd w:val="0"/>
              <w:spacing w:after="0" w:line="240" w:lineRule="auto"/>
              <w:rPr>
                <w:rFonts w:eastAsiaTheme="minorEastAsia"/>
                <w:sz w:val="20"/>
                <w:szCs w:val="20"/>
              </w:rPr>
            </w:pPr>
          </w:p>
          <w:p w14:paraId="66C458FD" w14:textId="77777777" w:rsidR="00177FBC" w:rsidRPr="001941B0" w:rsidRDefault="00177FBC"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Proponujemy precyzyjne określenie w projekcie ustawy:</w:t>
            </w:r>
          </w:p>
          <w:p w14:paraId="1596D17B" w14:textId="77777777" w:rsidR="00177FBC" w:rsidRPr="001941B0" w:rsidRDefault="00177FBC" w:rsidP="006E0CB2">
            <w:pPr>
              <w:numPr>
                <w:ilvl w:val="0"/>
                <w:numId w:val="36"/>
              </w:numPr>
              <w:autoSpaceDE w:val="0"/>
              <w:autoSpaceDN w:val="0"/>
              <w:adjustRightInd w:val="0"/>
              <w:spacing w:after="0" w:line="240" w:lineRule="auto"/>
              <w:rPr>
                <w:rFonts w:eastAsiaTheme="minorEastAsia"/>
                <w:sz w:val="20"/>
                <w:szCs w:val="20"/>
              </w:rPr>
            </w:pPr>
            <w:r w:rsidRPr="001941B0">
              <w:rPr>
                <w:rFonts w:eastAsiaTheme="minorEastAsia"/>
                <w:sz w:val="20"/>
                <w:szCs w:val="20"/>
              </w:rPr>
              <w:t>minimalnego katalogu danych, które będą przekazywane,</w:t>
            </w:r>
          </w:p>
          <w:p w14:paraId="55EF20EB" w14:textId="77777777" w:rsidR="00177FBC" w:rsidRPr="001941B0" w:rsidRDefault="00177FBC" w:rsidP="006E0CB2">
            <w:pPr>
              <w:numPr>
                <w:ilvl w:val="0"/>
                <w:numId w:val="36"/>
              </w:numPr>
              <w:autoSpaceDE w:val="0"/>
              <w:autoSpaceDN w:val="0"/>
              <w:adjustRightInd w:val="0"/>
              <w:spacing w:after="0" w:line="240" w:lineRule="auto"/>
              <w:rPr>
                <w:rFonts w:eastAsiaTheme="minorEastAsia"/>
                <w:sz w:val="20"/>
                <w:szCs w:val="20"/>
              </w:rPr>
            </w:pPr>
            <w:r w:rsidRPr="001941B0">
              <w:rPr>
                <w:rFonts w:eastAsiaTheme="minorEastAsia"/>
                <w:sz w:val="20"/>
                <w:szCs w:val="20"/>
              </w:rPr>
              <w:t>celu ich przetwarzania,</w:t>
            </w:r>
          </w:p>
          <w:p w14:paraId="51CEAAEA" w14:textId="77777777" w:rsidR="00177FBC" w:rsidRPr="001941B0" w:rsidRDefault="00177FBC" w:rsidP="006E0CB2">
            <w:pPr>
              <w:numPr>
                <w:ilvl w:val="0"/>
                <w:numId w:val="36"/>
              </w:numPr>
              <w:autoSpaceDE w:val="0"/>
              <w:autoSpaceDN w:val="0"/>
              <w:adjustRightInd w:val="0"/>
              <w:spacing w:after="0" w:line="240" w:lineRule="auto"/>
              <w:rPr>
                <w:rFonts w:eastAsiaTheme="minorEastAsia"/>
                <w:sz w:val="20"/>
                <w:szCs w:val="20"/>
              </w:rPr>
            </w:pPr>
            <w:r w:rsidRPr="001941B0">
              <w:rPr>
                <w:rFonts w:eastAsiaTheme="minorEastAsia"/>
                <w:sz w:val="20"/>
                <w:szCs w:val="20"/>
              </w:rPr>
              <w:t>obowiązków informacyjnych,</w:t>
            </w:r>
          </w:p>
          <w:p w14:paraId="52CD2CD4" w14:textId="6A8BFF7B" w:rsidR="00655571" w:rsidRPr="001941B0" w:rsidRDefault="00177FBC" w:rsidP="006E0CB2">
            <w:pPr>
              <w:numPr>
                <w:ilvl w:val="0"/>
                <w:numId w:val="36"/>
              </w:numPr>
              <w:autoSpaceDE w:val="0"/>
              <w:autoSpaceDN w:val="0"/>
              <w:adjustRightInd w:val="0"/>
              <w:spacing w:after="0" w:line="240" w:lineRule="auto"/>
              <w:rPr>
                <w:rFonts w:eastAsiaTheme="minorEastAsia"/>
                <w:sz w:val="20"/>
                <w:szCs w:val="20"/>
              </w:rPr>
            </w:pPr>
            <w:r w:rsidRPr="001941B0">
              <w:rPr>
                <w:rFonts w:eastAsiaTheme="minorEastAsia"/>
                <w:sz w:val="20"/>
                <w:szCs w:val="20"/>
              </w:rPr>
              <w:t>zasad odpowiedzialności za jakość danych.</w:t>
            </w:r>
          </w:p>
        </w:tc>
        <w:tc>
          <w:tcPr>
            <w:tcW w:w="2855" w:type="dxa"/>
            <w:shd w:val="clear" w:color="auto" w:fill="FFFFFF" w:themeFill="background1"/>
          </w:tcPr>
          <w:p w14:paraId="7B620F36" w14:textId="47506FC4" w:rsidR="00655571" w:rsidRPr="001941B0" w:rsidRDefault="78214323"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3C68760C" w14:textId="77777777" w:rsidR="00655571" w:rsidRPr="001941B0" w:rsidRDefault="060EE952" w:rsidP="006C5CCD">
            <w:pPr>
              <w:spacing w:after="0" w:line="240" w:lineRule="auto"/>
              <w:rPr>
                <w:rFonts w:eastAsiaTheme="minorEastAsia"/>
                <w:sz w:val="20"/>
                <w:szCs w:val="20"/>
              </w:rPr>
            </w:pPr>
            <w:r w:rsidRPr="001941B0">
              <w:rPr>
                <w:rFonts w:eastAsiaTheme="minorEastAsia"/>
                <w:sz w:val="20"/>
                <w:szCs w:val="20"/>
              </w:rPr>
              <w:t xml:space="preserve">Zakres danych </w:t>
            </w:r>
            <w:r w:rsidR="006C5CCD" w:rsidRPr="001941B0">
              <w:rPr>
                <w:rFonts w:eastAsiaTheme="minorEastAsia"/>
                <w:sz w:val="20"/>
                <w:szCs w:val="20"/>
              </w:rPr>
              <w:t>wynika z</w:t>
            </w:r>
            <w:r w:rsidR="00C568C8" w:rsidRPr="001941B0">
              <w:rPr>
                <w:rFonts w:eastAsiaTheme="minorEastAsia"/>
                <w:sz w:val="20"/>
                <w:szCs w:val="20"/>
              </w:rPr>
              <w:t xml:space="preserve"> charakteru danych gromadzonych przez wyroby medyczne i właściwości </w:t>
            </w:r>
            <w:r w:rsidR="00940455" w:rsidRPr="001941B0">
              <w:rPr>
                <w:rFonts w:eastAsiaTheme="minorEastAsia"/>
                <w:sz w:val="20"/>
                <w:szCs w:val="20"/>
              </w:rPr>
              <w:t>wyrobów medycznych</w:t>
            </w:r>
            <w:r w:rsidR="00C568C8" w:rsidRPr="001941B0">
              <w:rPr>
                <w:rFonts w:eastAsiaTheme="minorEastAsia"/>
                <w:sz w:val="20"/>
                <w:szCs w:val="20"/>
              </w:rPr>
              <w:t xml:space="preserve">. </w:t>
            </w:r>
          </w:p>
          <w:p w14:paraId="0E2CCF99" w14:textId="77777777" w:rsidR="00FA63E3" w:rsidRPr="001941B0" w:rsidRDefault="00FA63E3" w:rsidP="006C5CCD">
            <w:pPr>
              <w:spacing w:after="0" w:line="240" w:lineRule="auto"/>
              <w:rPr>
                <w:rFonts w:eastAsiaTheme="minorEastAsia"/>
                <w:sz w:val="20"/>
                <w:szCs w:val="20"/>
              </w:rPr>
            </w:pPr>
          </w:p>
          <w:p w14:paraId="243D9B4E" w14:textId="574AB08F" w:rsidR="00655571" w:rsidRPr="001941B0" w:rsidRDefault="00655571" w:rsidP="006C5CCD">
            <w:pPr>
              <w:spacing w:after="0" w:line="240" w:lineRule="auto"/>
              <w:rPr>
                <w:rFonts w:eastAsiaTheme="minorEastAsia"/>
                <w:sz w:val="20"/>
                <w:szCs w:val="20"/>
              </w:rPr>
            </w:pPr>
          </w:p>
        </w:tc>
      </w:tr>
      <w:tr w:rsidR="00FC7212" w:rsidRPr="001941B0" w14:paraId="18A583E9" w14:textId="77777777" w:rsidTr="7139DBB9">
        <w:tc>
          <w:tcPr>
            <w:tcW w:w="1125" w:type="dxa"/>
            <w:shd w:val="clear" w:color="auto" w:fill="FFFFFF" w:themeFill="background1"/>
          </w:tcPr>
          <w:p w14:paraId="2B924D2B" w14:textId="77777777" w:rsidR="00655571" w:rsidRPr="001941B0" w:rsidRDefault="0065557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6A73B19" w14:textId="72365071" w:rsidR="00655571" w:rsidRPr="001941B0" w:rsidRDefault="0065557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7892E4B4" w14:textId="27F57798" w:rsidR="00655571" w:rsidRPr="001941B0" w:rsidRDefault="00074EE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w:t>
            </w:r>
            <w:r>
              <w:rPr>
                <w:rFonts w:eastAsiaTheme="minorEastAsia"/>
                <w:sz w:val="20"/>
                <w:szCs w:val="20"/>
              </w:rPr>
              <w:t>a</w:t>
            </w:r>
            <w:r w:rsidRPr="001941B0">
              <w:rPr>
                <w:rFonts w:eastAsiaTheme="minorEastAsia"/>
                <w:sz w:val="20"/>
                <w:szCs w:val="20"/>
              </w:rPr>
              <w:t xml:space="preserve"> ogóln</w:t>
            </w:r>
            <w:r>
              <w:rPr>
                <w:rFonts w:eastAsiaTheme="minorEastAsia"/>
                <w:sz w:val="20"/>
                <w:szCs w:val="20"/>
              </w:rPr>
              <w:t>a</w:t>
            </w:r>
          </w:p>
        </w:tc>
        <w:tc>
          <w:tcPr>
            <w:tcW w:w="5652" w:type="dxa"/>
            <w:shd w:val="clear" w:color="auto" w:fill="FFFFFF" w:themeFill="background1"/>
          </w:tcPr>
          <w:p w14:paraId="6A0A194E" w14:textId="340D1CBA" w:rsidR="00810099" w:rsidRPr="001941B0" w:rsidRDefault="00810099" w:rsidP="006E0CB2">
            <w:pPr>
              <w:pStyle w:val="Akapitzlist"/>
              <w:numPr>
                <w:ilvl w:val="0"/>
                <w:numId w:val="33"/>
              </w:num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Standardy kliniczne i czas reakcji</w:t>
            </w:r>
          </w:p>
          <w:p w14:paraId="2079BB5A" w14:textId="77777777" w:rsidR="00810099" w:rsidRPr="001941B0" w:rsidRDefault="00810099" w:rsidP="006E0CB2">
            <w:pPr>
              <w:autoSpaceDE w:val="0"/>
              <w:autoSpaceDN w:val="0"/>
              <w:adjustRightInd w:val="0"/>
              <w:spacing w:after="0" w:line="240" w:lineRule="auto"/>
              <w:rPr>
                <w:rFonts w:eastAsiaTheme="minorEastAsia"/>
                <w:sz w:val="20"/>
                <w:szCs w:val="20"/>
              </w:rPr>
            </w:pPr>
          </w:p>
          <w:p w14:paraId="365CB731" w14:textId="3F9BC336" w:rsidR="00655571" w:rsidRPr="001941B0" w:rsidRDefault="0081009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celu zwiększenia bezpieczeństwa pacjentów, w naszej ocenie, warto doprecyzować klasyfikację alertów, czas reakcji różnych jednostek systemu (POZ, NŚOZ, zespoły domowe) na </w:t>
            </w:r>
            <w:r w:rsidRPr="001941B0">
              <w:rPr>
                <w:rFonts w:eastAsiaTheme="minorEastAsia"/>
                <w:sz w:val="20"/>
                <w:szCs w:val="20"/>
              </w:rPr>
              <w:lastRenderedPageBreak/>
              <w:t>otrzymany alert oraz zasady finansowania interwencji wynikających z telemonitoringu.</w:t>
            </w:r>
          </w:p>
        </w:tc>
        <w:tc>
          <w:tcPr>
            <w:tcW w:w="2855" w:type="dxa"/>
            <w:shd w:val="clear" w:color="auto" w:fill="FFFFFF" w:themeFill="background1"/>
          </w:tcPr>
          <w:p w14:paraId="5B100E2B" w14:textId="52942D7D" w:rsidR="00655571" w:rsidRPr="001941B0" w:rsidRDefault="673B28C9"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Wyjaśnienie</w:t>
            </w:r>
          </w:p>
          <w:p w14:paraId="653E003D" w14:textId="4C90E921" w:rsidR="00655571" w:rsidRPr="001941B0" w:rsidRDefault="673B28C9"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Nie są planowane alerty</w:t>
            </w:r>
            <w:r w:rsidR="5309BC2C" w:rsidRPr="001941B0">
              <w:rPr>
                <w:rFonts w:eastAsiaTheme="minorEastAsia"/>
                <w:sz w:val="20"/>
                <w:szCs w:val="20"/>
              </w:rPr>
              <w:t xml:space="preserve"> dla pacjentów i lekarzy</w:t>
            </w:r>
            <w:r w:rsidR="007B20E7" w:rsidRPr="001941B0">
              <w:rPr>
                <w:rFonts w:eastAsiaTheme="minorEastAsia"/>
                <w:sz w:val="20"/>
                <w:szCs w:val="20"/>
              </w:rPr>
              <w:t>.</w:t>
            </w:r>
          </w:p>
          <w:p w14:paraId="27981AF6" w14:textId="322C82DE" w:rsidR="00655571" w:rsidRPr="001941B0" w:rsidRDefault="00655571" w:rsidP="006E0CB2">
            <w:pPr>
              <w:autoSpaceDE w:val="0"/>
              <w:autoSpaceDN w:val="0"/>
              <w:adjustRightInd w:val="0"/>
              <w:spacing w:after="0" w:line="240" w:lineRule="auto"/>
              <w:rPr>
                <w:rFonts w:eastAsiaTheme="minorEastAsia"/>
                <w:sz w:val="20"/>
                <w:szCs w:val="20"/>
              </w:rPr>
            </w:pPr>
          </w:p>
          <w:p w14:paraId="1DEC9890" w14:textId="58CDBE13" w:rsidR="00655571" w:rsidRPr="001941B0" w:rsidRDefault="00655571" w:rsidP="006E0CB2">
            <w:pPr>
              <w:autoSpaceDE w:val="0"/>
              <w:autoSpaceDN w:val="0"/>
              <w:adjustRightInd w:val="0"/>
              <w:spacing w:after="0" w:line="240" w:lineRule="auto"/>
              <w:rPr>
                <w:rFonts w:eastAsiaTheme="minorEastAsia"/>
                <w:sz w:val="20"/>
                <w:szCs w:val="20"/>
              </w:rPr>
            </w:pPr>
          </w:p>
        </w:tc>
      </w:tr>
      <w:tr w:rsidR="00FC7212" w:rsidRPr="001941B0" w14:paraId="49F3E1FF" w14:textId="77777777" w:rsidTr="7139DBB9">
        <w:tc>
          <w:tcPr>
            <w:tcW w:w="1125" w:type="dxa"/>
            <w:shd w:val="clear" w:color="auto" w:fill="FFFFFF" w:themeFill="background1"/>
          </w:tcPr>
          <w:p w14:paraId="5937EB77" w14:textId="77777777" w:rsidR="00655571" w:rsidRPr="001941B0" w:rsidRDefault="0065557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15125BF" w14:textId="4611791C" w:rsidR="00655571" w:rsidRPr="001941B0" w:rsidRDefault="0065557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3121F158" w14:textId="1FDDE166" w:rsidR="00655571" w:rsidRPr="001941B0" w:rsidRDefault="00074EE7" w:rsidP="006E0CB2">
            <w:pPr>
              <w:autoSpaceDE w:val="0"/>
              <w:autoSpaceDN w:val="0"/>
              <w:adjustRightInd w:val="0"/>
              <w:spacing w:after="0" w:line="240" w:lineRule="auto"/>
              <w:rPr>
                <w:rFonts w:eastAsiaTheme="minorEastAsia"/>
                <w:b/>
                <w:sz w:val="20"/>
                <w:szCs w:val="20"/>
              </w:rPr>
            </w:pPr>
            <w:r w:rsidRPr="001941B0">
              <w:rPr>
                <w:rFonts w:eastAsiaTheme="minorEastAsia"/>
                <w:sz w:val="20"/>
                <w:szCs w:val="20"/>
              </w:rPr>
              <w:t>Uwag</w:t>
            </w:r>
            <w:r>
              <w:rPr>
                <w:rFonts w:eastAsiaTheme="minorEastAsia"/>
                <w:sz w:val="20"/>
                <w:szCs w:val="20"/>
              </w:rPr>
              <w:t>a</w:t>
            </w:r>
            <w:r w:rsidRPr="001941B0">
              <w:rPr>
                <w:rFonts w:eastAsiaTheme="minorEastAsia"/>
                <w:sz w:val="20"/>
                <w:szCs w:val="20"/>
              </w:rPr>
              <w:t xml:space="preserve"> ogóln</w:t>
            </w:r>
            <w:r>
              <w:rPr>
                <w:rFonts w:eastAsiaTheme="minorEastAsia"/>
                <w:sz w:val="20"/>
                <w:szCs w:val="20"/>
              </w:rPr>
              <w:t>a</w:t>
            </w:r>
          </w:p>
        </w:tc>
        <w:tc>
          <w:tcPr>
            <w:tcW w:w="5652" w:type="dxa"/>
            <w:shd w:val="clear" w:color="auto" w:fill="FFFFFF" w:themeFill="background1"/>
          </w:tcPr>
          <w:p w14:paraId="743CDE83" w14:textId="515D8AB2" w:rsidR="0020704D" w:rsidRPr="001941B0" w:rsidRDefault="0020704D" w:rsidP="006E0CB2">
            <w:pPr>
              <w:numPr>
                <w:ilvl w:val="0"/>
                <w:numId w:val="33"/>
              </w:num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Równość dostępu i przeciwdziałanie wykluczeniu cyfrowemu</w:t>
            </w:r>
          </w:p>
          <w:p w14:paraId="21D8BCE0" w14:textId="77777777" w:rsidR="0020704D" w:rsidRPr="001941B0" w:rsidRDefault="0020704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Rekomendujemy zapewnienie:</w:t>
            </w:r>
          </w:p>
          <w:p w14:paraId="12D2992C" w14:textId="77777777" w:rsidR="0020704D" w:rsidRPr="001941B0" w:rsidRDefault="0020704D" w:rsidP="006E0CB2">
            <w:pPr>
              <w:numPr>
                <w:ilvl w:val="0"/>
                <w:numId w:val="38"/>
              </w:numPr>
              <w:autoSpaceDE w:val="0"/>
              <w:autoSpaceDN w:val="0"/>
              <w:adjustRightInd w:val="0"/>
              <w:spacing w:after="0" w:line="240" w:lineRule="auto"/>
              <w:rPr>
                <w:rFonts w:eastAsiaTheme="minorEastAsia"/>
                <w:sz w:val="20"/>
                <w:szCs w:val="20"/>
              </w:rPr>
            </w:pPr>
            <w:r w:rsidRPr="001941B0">
              <w:rPr>
                <w:rFonts w:eastAsiaTheme="minorEastAsia"/>
                <w:sz w:val="20"/>
                <w:szCs w:val="20"/>
              </w:rPr>
              <w:t>urządzeń z automatycznym przesyłem danych,</w:t>
            </w:r>
          </w:p>
          <w:p w14:paraId="344ADE83" w14:textId="77777777" w:rsidR="0020704D" w:rsidRPr="001941B0" w:rsidRDefault="0020704D" w:rsidP="006E0CB2">
            <w:pPr>
              <w:numPr>
                <w:ilvl w:val="0"/>
                <w:numId w:val="38"/>
              </w:numPr>
              <w:autoSpaceDE w:val="0"/>
              <w:autoSpaceDN w:val="0"/>
              <w:adjustRightInd w:val="0"/>
              <w:spacing w:after="0" w:line="240" w:lineRule="auto"/>
              <w:rPr>
                <w:rFonts w:eastAsiaTheme="minorEastAsia"/>
                <w:sz w:val="20"/>
                <w:szCs w:val="20"/>
              </w:rPr>
            </w:pPr>
            <w:r w:rsidRPr="001941B0">
              <w:rPr>
                <w:rFonts w:eastAsiaTheme="minorEastAsia"/>
                <w:sz w:val="20"/>
                <w:szCs w:val="20"/>
              </w:rPr>
              <w:t>szkoleń dla opiekunów formalnych i nieformalnych,</w:t>
            </w:r>
          </w:p>
          <w:p w14:paraId="374723E7" w14:textId="77777777" w:rsidR="0020704D" w:rsidRPr="001941B0" w:rsidRDefault="0020704D" w:rsidP="006E0CB2">
            <w:pPr>
              <w:numPr>
                <w:ilvl w:val="0"/>
                <w:numId w:val="38"/>
              </w:numPr>
              <w:autoSpaceDE w:val="0"/>
              <w:autoSpaceDN w:val="0"/>
              <w:adjustRightInd w:val="0"/>
              <w:spacing w:after="0" w:line="240" w:lineRule="auto"/>
              <w:rPr>
                <w:rFonts w:eastAsiaTheme="minorEastAsia"/>
                <w:sz w:val="20"/>
                <w:szCs w:val="20"/>
              </w:rPr>
            </w:pPr>
            <w:r w:rsidRPr="001941B0">
              <w:rPr>
                <w:rFonts w:eastAsiaTheme="minorEastAsia"/>
                <w:sz w:val="20"/>
                <w:szCs w:val="20"/>
              </w:rPr>
              <w:t>infolinii i wsparcia serwisowego,</w:t>
            </w:r>
          </w:p>
          <w:p w14:paraId="7E349874" w14:textId="0EF49CCD" w:rsidR="00655571" w:rsidRPr="001941B0" w:rsidRDefault="0020704D" w:rsidP="006E0CB2">
            <w:pPr>
              <w:numPr>
                <w:ilvl w:val="0"/>
                <w:numId w:val="38"/>
              </w:numPr>
              <w:autoSpaceDE w:val="0"/>
              <w:autoSpaceDN w:val="0"/>
              <w:adjustRightInd w:val="0"/>
              <w:spacing w:after="0" w:line="240" w:lineRule="auto"/>
              <w:rPr>
                <w:rFonts w:eastAsiaTheme="minorEastAsia"/>
                <w:sz w:val="20"/>
                <w:szCs w:val="20"/>
              </w:rPr>
            </w:pPr>
            <w:r w:rsidRPr="001941B0">
              <w:rPr>
                <w:rFonts w:eastAsiaTheme="minorEastAsia"/>
                <w:sz w:val="20"/>
                <w:szCs w:val="20"/>
              </w:rPr>
              <w:t>rozwiązań alternatywnych dla osób bez smartfonów lub kompetencji cyfrowych.</w:t>
            </w:r>
          </w:p>
        </w:tc>
        <w:tc>
          <w:tcPr>
            <w:tcW w:w="2855" w:type="dxa"/>
            <w:shd w:val="clear" w:color="auto" w:fill="FFFFFF" w:themeFill="background1"/>
          </w:tcPr>
          <w:p w14:paraId="465F848A" w14:textId="539F9E89" w:rsidR="00655571" w:rsidRPr="001941B0" w:rsidRDefault="0025240A" w:rsidP="006E0CB2">
            <w:pPr>
              <w:autoSpaceDE w:val="0"/>
              <w:autoSpaceDN w:val="0"/>
              <w:adjustRightInd w:val="0"/>
              <w:spacing w:after="0" w:line="240" w:lineRule="auto"/>
              <w:rPr>
                <w:rFonts w:eastAsiaTheme="minorEastAsia"/>
                <w:b/>
                <w:sz w:val="20"/>
                <w:szCs w:val="20"/>
              </w:rPr>
            </w:pPr>
            <w:r w:rsidRPr="001941B0">
              <w:rPr>
                <w:rFonts w:eastAsiaTheme="minorEastAsia"/>
                <w:b/>
                <w:bCs/>
                <w:sz w:val="20"/>
                <w:szCs w:val="20"/>
              </w:rPr>
              <w:t>Wyjaśnienie</w:t>
            </w:r>
          </w:p>
          <w:p w14:paraId="42C99207" w14:textId="097B404A" w:rsidR="00BB03D5" w:rsidRPr="001941B0" w:rsidRDefault="00BB03D5"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Rozwiązania przygotowywane przez Ministerstwo Zdrowia mają na celu zapewnienie dostępu do nowoczesnych metod monitorowania, diagnostyki i leczenia pacjentów mając na uwadze potrzeby osób starszych, niesamodzielnych, czy przewlekle chorych. Rozwiązania spełniają wymogi dostępności cyfrowej zgodnie ze standardem WCAG. Ponadto, obligatoryjnie przed powszechnym wdrożeniem narzędzi weryfikowane są one pod kątem badań użytkowników w celu dostosowania do ich oczekiwań i potrzeb, uwzględniając różne profile użytkowników. Dodatkowo część mechanizmów w miarę możliwości będzie automatyzowana, aby rozwiązania były możliwie proste dla pacjentów.</w:t>
            </w:r>
          </w:p>
        </w:tc>
      </w:tr>
      <w:tr w:rsidR="00FC7212" w:rsidRPr="001941B0" w14:paraId="434F0429" w14:textId="77777777" w:rsidTr="7139DBB9">
        <w:tc>
          <w:tcPr>
            <w:tcW w:w="1125" w:type="dxa"/>
            <w:shd w:val="clear" w:color="auto" w:fill="FFFFFF" w:themeFill="background1"/>
          </w:tcPr>
          <w:p w14:paraId="2C31CA1B" w14:textId="77777777" w:rsidR="00655571" w:rsidRPr="001941B0" w:rsidRDefault="0065557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D2338D1" w14:textId="0AE40CEB" w:rsidR="00655571" w:rsidRPr="001941B0" w:rsidRDefault="00655571"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KOALICJA NA POMOC NIESAMODZIELNYM</w:t>
            </w:r>
          </w:p>
        </w:tc>
        <w:tc>
          <w:tcPr>
            <w:tcW w:w="1949" w:type="dxa"/>
            <w:shd w:val="clear" w:color="auto" w:fill="FFFFFF" w:themeFill="background1"/>
          </w:tcPr>
          <w:p w14:paraId="1B475696" w14:textId="4ED2AA68" w:rsidR="00655571" w:rsidRPr="001941B0" w:rsidRDefault="00074EE7"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w:t>
            </w:r>
            <w:r>
              <w:rPr>
                <w:rFonts w:eastAsiaTheme="minorEastAsia"/>
                <w:sz w:val="20"/>
                <w:szCs w:val="20"/>
              </w:rPr>
              <w:t>a</w:t>
            </w:r>
            <w:r w:rsidRPr="001941B0">
              <w:rPr>
                <w:rFonts w:eastAsiaTheme="minorEastAsia"/>
                <w:sz w:val="20"/>
                <w:szCs w:val="20"/>
              </w:rPr>
              <w:t xml:space="preserve"> ogóln</w:t>
            </w:r>
            <w:r>
              <w:rPr>
                <w:rFonts w:eastAsiaTheme="minorEastAsia"/>
                <w:sz w:val="20"/>
                <w:szCs w:val="20"/>
              </w:rPr>
              <w:t>a</w:t>
            </w:r>
          </w:p>
        </w:tc>
        <w:tc>
          <w:tcPr>
            <w:tcW w:w="5652" w:type="dxa"/>
            <w:shd w:val="clear" w:color="auto" w:fill="FFFFFF" w:themeFill="background1"/>
          </w:tcPr>
          <w:p w14:paraId="1AD175DC" w14:textId="4198EDCE" w:rsidR="00655571" w:rsidRPr="001941B0" w:rsidRDefault="00F94ABD"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Podsumowując, Koalicja „Na pomoc niesamodzielnym” z uznaniem przyjmuje kierunek rozwoju telemonitoringu w ochronie zdrowia i podkreśla, że projekt ustawy może realnie poprawić bezpieczeństwo pacjentów oraz odciążyć kadrę medyczną. Deklarujemy pełną gotowość do dalszej współpracy, aby wspólnie wypracować rozwiązania, które </w:t>
            </w:r>
            <w:r w:rsidRPr="001941B0">
              <w:rPr>
                <w:rFonts w:eastAsiaTheme="minorEastAsia"/>
                <w:sz w:val="20"/>
                <w:szCs w:val="20"/>
              </w:rPr>
              <w:lastRenderedPageBreak/>
              <w:t>wzmocnią system opieki nad osobami niesamodzielnymi i przewlekle chorymi, które realnie poprawią jakość ich życia i bezpieczeństwo.</w:t>
            </w:r>
          </w:p>
        </w:tc>
        <w:tc>
          <w:tcPr>
            <w:tcW w:w="2855" w:type="dxa"/>
            <w:shd w:val="clear" w:color="auto" w:fill="FFFFFF" w:themeFill="background1"/>
          </w:tcPr>
          <w:p w14:paraId="70A349B1" w14:textId="2B83B44D" w:rsidR="00655571" w:rsidRPr="001941B0" w:rsidRDefault="30C3F611"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o charakterze komentarza</w:t>
            </w:r>
          </w:p>
        </w:tc>
      </w:tr>
      <w:tr w:rsidR="00FC7212" w:rsidRPr="001941B0" w14:paraId="56A41581" w14:textId="77777777" w:rsidTr="7139DBB9">
        <w:tc>
          <w:tcPr>
            <w:tcW w:w="1125" w:type="dxa"/>
            <w:shd w:val="clear" w:color="auto" w:fill="FFFFFF" w:themeFill="background1"/>
          </w:tcPr>
          <w:p w14:paraId="495F7249" w14:textId="77777777" w:rsidR="00685B4B" w:rsidRPr="001941B0" w:rsidRDefault="00685B4B"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C6F5DC1" w14:textId="70F600C8" w:rsidR="1F17CECC" w:rsidRPr="001941B0" w:rsidRDefault="1F17CECC" w:rsidP="006E0CB2">
            <w:pPr>
              <w:spacing w:after="0" w:line="240" w:lineRule="auto"/>
              <w:rPr>
                <w:rFonts w:cs="Calibri"/>
                <w:sz w:val="20"/>
                <w:szCs w:val="20"/>
              </w:rPr>
            </w:pPr>
            <w:r w:rsidRPr="001941B0">
              <w:rPr>
                <w:rFonts w:cs="Calibri"/>
                <w:sz w:val="20"/>
                <w:szCs w:val="20"/>
              </w:rPr>
              <w:t>Naczelna Izba Lekarska</w:t>
            </w:r>
          </w:p>
        </w:tc>
        <w:tc>
          <w:tcPr>
            <w:tcW w:w="1949" w:type="dxa"/>
            <w:shd w:val="clear" w:color="auto" w:fill="FFFFFF" w:themeFill="background1"/>
          </w:tcPr>
          <w:p w14:paraId="78203692" w14:textId="3722C98E" w:rsidR="1F17CECC" w:rsidRPr="001941B0" w:rsidRDefault="1F17CECC" w:rsidP="006E0CB2">
            <w:pPr>
              <w:spacing w:after="0" w:line="240" w:lineRule="auto"/>
              <w:rPr>
                <w:rFonts w:cs="Calibri"/>
                <w:sz w:val="20"/>
                <w:szCs w:val="20"/>
              </w:rPr>
            </w:pPr>
            <w:r w:rsidRPr="001941B0">
              <w:rPr>
                <w:rFonts w:cs="Calibri"/>
                <w:sz w:val="20"/>
                <w:szCs w:val="20"/>
              </w:rPr>
              <w:t>Uwaga ogólna</w:t>
            </w:r>
          </w:p>
        </w:tc>
        <w:tc>
          <w:tcPr>
            <w:tcW w:w="5652" w:type="dxa"/>
            <w:shd w:val="clear" w:color="auto" w:fill="FFFFFF" w:themeFill="background1"/>
          </w:tcPr>
          <w:p w14:paraId="4D0C3FA9" w14:textId="2B1241A1" w:rsidR="1F17CECC" w:rsidRPr="001941B0" w:rsidRDefault="1F17CECC" w:rsidP="006E0CB2">
            <w:pPr>
              <w:spacing w:after="0" w:line="240" w:lineRule="auto"/>
              <w:rPr>
                <w:sz w:val="20"/>
                <w:szCs w:val="20"/>
              </w:rPr>
            </w:pPr>
            <w:r w:rsidRPr="001941B0">
              <w:rPr>
                <w:sz w:val="20"/>
                <w:szCs w:val="20"/>
              </w:rPr>
              <w:t>Ustawa - mimo że wprowadza szereg rozwiązań mających na celu poprawę działania usług e-zdrowia - nie wprowadza dawno wyczekiwanego narzędzia pozwalającego na wyeliminowaniu działania tzw. receptomatów, czyli podmiotów, które dzięki systemom teleinformatycznym zajmują się wyłącznie oferowaniem dostępu do leków na receptę bez wcześniejszego rzetelnego zbadania pacjenta. Celowość ograniczenia działalności tego rodzaju podmiotów Ministerstwo Zdrowia potwierdziło już w raporcie Zespołu ds. preskrypcji i realizacji recept na leki gotowe i recepturowe opublikowanym na stronie Ministerstwa Zdrowia w dniu 23 września 2024 r.</w:t>
            </w:r>
          </w:p>
        </w:tc>
        <w:tc>
          <w:tcPr>
            <w:tcW w:w="2855" w:type="dxa"/>
            <w:shd w:val="clear" w:color="auto" w:fill="FFFFFF" w:themeFill="background1"/>
          </w:tcPr>
          <w:p w14:paraId="334C79BC" w14:textId="42349D2F" w:rsidR="1F17CECC" w:rsidRPr="001941B0" w:rsidRDefault="1F17CECC" w:rsidP="006E0CB2">
            <w:pPr>
              <w:spacing w:after="0" w:line="240" w:lineRule="auto"/>
              <w:rPr>
                <w:b/>
                <w:sz w:val="20"/>
                <w:szCs w:val="20"/>
              </w:rPr>
            </w:pPr>
            <w:r w:rsidRPr="001941B0">
              <w:rPr>
                <w:b/>
                <w:sz w:val="20"/>
                <w:szCs w:val="20"/>
              </w:rPr>
              <w:t>Uwaga nieuwzględniona</w:t>
            </w:r>
          </w:p>
          <w:p w14:paraId="74777036" w14:textId="5DB8E1D0" w:rsidR="1F17CECC" w:rsidRPr="001941B0" w:rsidRDefault="0025240A" w:rsidP="006E0CB2">
            <w:pPr>
              <w:spacing w:after="0" w:line="240" w:lineRule="auto"/>
              <w:rPr>
                <w:sz w:val="20"/>
                <w:szCs w:val="20"/>
              </w:rPr>
            </w:pPr>
            <w:r w:rsidRPr="001941B0">
              <w:rPr>
                <w:sz w:val="20"/>
                <w:szCs w:val="20"/>
              </w:rPr>
              <w:t>P</w:t>
            </w:r>
            <w:r w:rsidR="1F17CECC" w:rsidRPr="001941B0">
              <w:rPr>
                <w:sz w:val="20"/>
                <w:szCs w:val="20"/>
              </w:rPr>
              <w:t xml:space="preserve">oza zakresem </w:t>
            </w:r>
            <w:r w:rsidR="000764A4" w:rsidRPr="001941B0">
              <w:rPr>
                <w:sz w:val="20"/>
                <w:szCs w:val="20"/>
              </w:rPr>
              <w:t>projektowanej</w:t>
            </w:r>
            <w:r w:rsidR="1F17CECC" w:rsidRPr="001941B0">
              <w:rPr>
                <w:sz w:val="20"/>
                <w:szCs w:val="20"/>
              </w:rPr>
              <w:t xml:space="preserve"> regulacji. </w:t>
            </w:r>
          </w:p>
        </w:tc>
      </w:tr>
      <w:tr w:rsidR="00FC7212" w:rsidRPr="001941B0" w14:paraId="3B4D0275" w14:textId="77777777" w:rsidTr="7139DBB9">
        <w:tc>
          <w:tcPr>
            <w:tcW w:w="1125" w:type="dxa"/>
            <w:shd w:val="clear" w:color="auto" w:fill="FFFFFF" w:themeFill="background1"/>
          </w:tcPr>
          <w:p w14:paraId="55D42A5C" w14:textId="77777777" w:rsidR="00685B4B" w:rsidRPr="001941B0" w:rsidRDefault="00685B4B"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769F419" w14:textId="112579F1" w:rsidR="00685B4B" w:rsidRPr="001941B0" w:rsidRDefault="00F7146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Rzecznik Praw Pacjenta</w:t>
            </w:r>
          </w:p>
        </w:tc>
        <w:tc>
          <w:tcPr>
            <w:tcW w:w="1949" w:type="dxa"/>
            <w:shd w:val="clear" w:color="auto" w:fill="FFFFFF" w:themeFill="background1"/>
          </w:tcPr>
          <w:p w14:paraId="46C63368" w14:textId="22B06ACB" w:rsidR="00685B4B" w:rsidRPr="001941B0" w:rsidRDefault="00F7146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2E4C2B65" w14:textId="77777777" w:rsidR="006434B8"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Wskazać należy, iż zgodnie z art. 47 ust. 1 pkt 1a oraz 3b ustawy z dnia 6 listopada 2008 r. o prawach pacjenta i Rzeczniku Praw Pacjenta</w:t>
            </w:r>
            <w:r w:rsidRPr="001941B0">
              <w:rPr>
                <w:rFonts w:eastAsiaTheme="minorEastAsia"/>
                <w:sz w:val="20"/>
                <w:szCs w:val="20"/>
                <w:vertAlign w:val="superscript"/>
              </w:rPr>
              <w:footnoteReference w:id="1"/>
            </w:r>
            <w:r w:rsidRPr="001941B0">
              <w:rPr>
                <w:rFonts w:eastAsiaTheme="minorEastAsia"/>
                <w:sz w:val="20"/>
                <w:szCs w:val="20"/>
              </w:rPr>
              <w:t xml:space="preserve"> do zadań Rzecznika Praw Pacjenta należy wykonywanie zadań związanych z prowadzeniem postępowań w sprawie świadczenia kompensacyjnego oraz obsługą Funduszu Kompensacyjnego Zdarzeń Medycznych, o których mowa w rozdziale 13b, jak również zbieranie informacji o zdarzeniach niepożądanych oraz opracowywanie na ich podstawie rekomendacji, analiz i raportów w zakresie bezpieczeństwa pacjenta. Powyższe zadania zostały przypisane Rzecznikowi Praw Pacjenta w wyniku nowelizacji ww. ustawy dokonanej ustawą z dnia 16 czerwca 2023 r. o zmianie ustawy o prawach pacjenta i Rzeczniku Praw Pacjenta oraz niektórych innych ustaw, która weszła w życie 6 września 2023 r. (co istotne – pierwotnie jako komponent rozwiązań przepisów o jakości w opiece zdrowotnej i bezpieczeństwie pacjenta). </w:t>
            </w:r>
          </w:p>
          <w:p w14:paraId="3B298833" w14:textId="77777777" w:rsidR="006434B8"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W związku z obsługą Funduszu Kompensacyjnego Zdarzeń Medycznych (dalej: FKZM), Rzecznik Praw Pacjenta odpowiada za szczegółowe rozpatrzenie spraw, które wymagają dokładnej analizy. Informacje zamieszczone we wniosku do FKZM analizowane są z wykorzystaniem dokumentacji medycznej dołączonej do tego wniosku, jak również danych oraz dokumentacji zamieszczanych w Systemie Informacji Medycznej (SIM). W SIM przetwarzane są dane dotyczące udzielonych, udzielanych i planowanych świadczeń opieki zdrowotnej, w tym dane dotyczące zdarzeń medycznych, w szczególności: identyfikujące świadczenie zdrowotne, dane miejsca udzielenia świadczenia zdrowotnego, dane dotyczące dokumentacji medycznej wytworzonej w związku z udzielonym świadczeniem zdrowotnym, jak również inne dane pozwalające na identyfikację zdarzenia medycznego</w:t>
            </w:r>
            <w:r w:rsidRPr="001941B0">
              <w:rPr>
                <w:rFonts w:eastAsiaTheme="minorEastAsia"/>
                <w:sz w:val="20"/>
                <w:szCs w:val="20"/>
                <w:vertAlign w:val="superscript"/>
              </w:rPr>
              <w:footnoteReference w:id="2"/>
            </w:r>
            <w:r w:rsidRPr="001941B0">
              <w:rPr>
                <w:rFonts w:eastAsiaTheme="minorEastAsia"/>
                <w:sz w:val="20"/>
                <w:szCs w:val="20"/>
              </w:rPr>
              <w:t>. Obecnie w sprawach, w których wymagane jest uzyskanie pełnej informacji o stanie zdrowia pacjenta, Rzecznik występuje do Centrum e-Zdrowia z prośbą o przesłanie niezbędnych danych. Na tę chwilę takich zapytań Rzecznik kierował ok. 1500 rocznie, niemniej jednak w prognozie rosnącej na najbliższe lata wartość ta zwiększy się. Powyższe wynika z faktu, że obecnie procedowany jest projekt ustawy o świadczeniach kompensacyjnych wypłacanych z Funduszu Kompensacyjnego Zdarzeń Medycznych, zakładający połączenie trzech obecnie istniejących funduszy celowych, których dysponentem jest Rzecznik Praw Pacjenta: Funduszu Kompensacyjnego Zdarzeń Medycznych, Funduszu Kompensacyjnego Szczepień Ochronnych oraz Funduszu Kompensacyjnego Badań Klinicznych (UD341)</w:t>
            </w:r>
            <w:r w:rsidRPr="001941B0">
              <w:rPr>
                <w:rFonts w:eastAsiaTheme="minorEastAsia"/>
                <w:sz w:val="20"/>
                <w:szCs w:val="20"/>
                <w:vertAlign w:val="superscript"/>
              </w:rPr>
              <w:footnoteReference w:id="3"/>
            </w:r>
            <w:r w:rsidRPr="001941B0">
              <w:rPr>
                <w:rFonts w:eastAsiaTheme="minorEastAsia"/>
                <w:sz w:val="20"/>
                <w:szCs w:val="20"/>
              </w:rPr>
              <w:t xml:space="preserve">. W związku z dalszym rozwojem tego modelu pozasądowego uzyskiwania rekompensat za szkody podczas udzielania świadczeń zdrowotnych, dostęp do danych z SIM jest niezbędny, </w:t>
            </w:r>
            <w:r w:rsidRPr="001941B0">
              <w:rPr>
                <w:rFonts w:eastAsiaTheme="minorEastAsia"/>
                <w:sz w:val="20"/>
                <w:szCs w:val="20"/>
              </w:rPr>
              <w:lastRenderedPageBreak/>
              <w:t xml:space="preserve">ponieważ wg naszych szacowań liczba nowych wniosków znacząco wzrośnie (tak: Ocena Skutków Regulacji dot. ww. projektu). </w:t>
            </w:r>
          </w:p>
          <w:p w14:paraId="10D45ADE" w14:textId="729EF45F" w:rsidR="006434B8"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Obecnie dostęp do tych danych odbywa się drogą tradycyjną, co znacząco może wydłużyć postępowanie i utrudnić jej analizę. Tymczasem przepisy ustawy o prawach pacjenta i Rzeczniku Praw Pacjenta przewidują krótki, bo trzymiesięczny termin na wydanie decyzji w sprawie przyznania świadczenia kompensacyjnego i ustalenia jego wysokości albo odmowy przyznania świadczenia kompensacyjnego.  Dostęp do SIM, umożliwiający wgląd w dokumentację medyczną w formie cyfrowej, pozwoliłby na szybsze i bardziej precyzyjne rozpatrywanie wniosków o świadczenie kompensacyjne, ułatwienie kontaktu ze świadczeniodawcami i ograniczenie możliwości powstawania błędów, a także odciążyłoby pracowników podmiotów leczniczych. Na wysokość świadczenia kompensacyjnego z tytułu zakażenia biologicznym czynnikiem chorobotwórczym albo uszkodzenia ciała lub rozstroju zdrowia składa się suma kwot odpowiadających charakterowi następstw zdrowotnych oraz stopniowi dolegliwości w zakresie: uszczerbku na zdrowiu, uciążliwości leczenia oraz pogorszenia jakości życia</w:t>
            </w:r>
            <w:r w:rsidRPr="001941B0">
              <w:rPr>
                <w:rFonts w:eastAsiaTheme="minorEastAsia"/>
                <w:sz w:val="20"/>
                <w:szCs w:val="20"/>
                <w:vertAlign w:val="superscript"/>
              </w:rPr>
              <w:footnoteReference w:id="4"/>
            </w:r>
            <w:r w:rsidRPr="001941B0">
              <w:rPr>
                <w:rFonts w:eastAsiaTheme="minorEastAsia"/>
                <w:sz w:val="20"/>
                <w:szCs w:val="20"/>
              </w:rPr>
              <w:t xml:space="preserve">. Przy uciążliwości leczenia bierze się pod uwagę m.in. liczbę dni hospitalizacji czy wykonanie wskazanych procedur medycznych. W wielu sprawach zachodzi konieczność uzyskania dokumentacji medycznej z wcześniejszego leczenia pacjenta (nie dołączonej do wniosku) w celu oceny czy choroby współistniejące pacjenta miały wpływ na skutki zdarzenia medycznego albo czy leczenie w danym zakresie rzeczywiście rozpoczęło się w związku ze zdarzeniem medycznym a nie dużo wcześniej.    </w:t>
            </w:r>
          </w:p>
          <w:p w14:paraId="3DAEB0F1" w14:textId="77777777" w:rsidR="006434B8"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Dodatkowo bezpośredni dostęp do SIM pozwoliłby na szybsze wykrywanie wszelkich prób nadużyć związanych z ustaleniem zdarzenia medycznego i określeniem wysokości świadczenia kompensacyjnego. Obserwujemy przypadki ukrywania faktów z historii leczenia i przebiegu udzielania świadczeń zdrowotnych, które mogą skutkować brakiem wypłaty świadczenia, zmniejszeniem jego wysokości lub w ogóle niedopuszczeniem wniosku do merytorycznej oceny (w wyniku przekroczenia ustawowego terminu na złożenie wniosku). Należy w tym zakresie podkreślić konieczność dbałości o wydatkowanie środków publicznych z funduszu celowego oraz równe traktowanie wszystkich obywateli. W tym miejscu należy dodać, że od początku funkcjonowania FKZM, Rzecznik wydał 846 decyzji przyznających świadczenia kompensacyjne a z Funduszu została wydatkowana łączna kwota w wysokości prawie 49 milionów złotych. </w:t>
            </w:r>
          </w:p>
          <w:p w14:paraId="71C6F387" w14:textId="77777777" w:rsidR="006434B8"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SIM zawiera nadto dane, które mogą stanowić podstawę do pogłębionych analiz statystycznych, pozwalających na identyfikację systemowych przyczyn zdarzeń niepożądanych. Możliwość prowadzenia analiz wieloczynnikowych umożliwiłaby ocenę częstości występowania powikłań w zależności od liczby i rodzaju wykonywanych zabiegów, wskazanie placówek, oddziałów czy operatorów, u których występują niepokojące wzorce (np. nadreprezentacja reoperacji, rehospitalizacji, powtórnych przyjęć na SOR). Pomogłoby to stworzyć mapę ryzyk i przyczyn zdarzeń niepożądanych, co może przyczynić się do formułowania rekomendacji systemowych. W przeciwieństwie do danych NFZ, które prezentowane są na poziomie całego świadczeniodawcy, dostęp do SIM pozwoli na analizy na poziomie konkretnych oddziałów czy procedur. Z tego powodu zasadnym jest zapewnienie Rzecznikowi Praw Pacjenta bezpośredniego dostępu do Systemu Informacji Medycznej, na wzór dostępu jaki przyznano Narodowemu Funduszowi Zdrowia w celu wykonywania analiz (oprócz rozliczania świadczeń). Dane z SIM pozwolą również na identyfikację i monitorowanie bieżących problemów w systemie ochrony </w:t>
            </w:r>
            <w:r w:rsidRPr="001941B0">
              <w:rPr>
                <w:rFonts w:eastAsiaTheme="minorEastAsia"/>
                <w:sz w:val="20"/>
                <w:szCs w:val="20"/>
              </w:rPr>
              <w:lastRenderedPageBreak/>
              <w:t>zdrowia, m.in. skutków wprowadzenia nowych technologii, wpływu doświadczenia operatorów na efektywność i bezpieczeństwo zabiegów, a także analizy skuteczności działań naprawczych wprowadzanych przez świadczeniodawców po wystąpieniu niepożądanych zdarzeń.</w:t>
            </w:r>
          </w:p>
          <w:p w14:paraId="7879640C" w14:textId="77777777" w:rsidR="006434B8"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Przyznanie Rzecznikowi Praw Pacjenta dostępu do danych z Systemu Informacji Medycznej poprawi efektywność realizacji ustawowych zadań – zarówno w zakresie obsługi Funduszu Kompensacyjnego Zdarzeń Medycznych, jak i ochrony praw pacjenta, przy jednoczesnej redukcji dużej liczby zapytań kierowanych do Centrum e-Zdrowia. Pozwoli to nie tylko na przyspieszenie analiz i postępowań, ale również na identyfikację zagrożeń systemowych oraz formułowanie precyzyjnych rekomendacji na rzecz poprawy dostępności i jakości opieki zdrowotnej w Polsce. W dobie cyfryzacji i coraz większej dostępności danych, takie rozwiązanie stanowi naturalny krok w kierunku nowoczesnej, efektywnej i opartej na faktach ochrony praw pacjentów.</w:t>
            </w:r>
          </w:p>
          <w:p w14:paraId="640010AD" w14:textId="77777777" w:rsidR="006434B8"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Uwzględniając powyższe uprzejmie proszę Pana Ministra o uwzględnienie w projekcie kolejnej zmiany w zakresie ustawy z dnia 28 kwietnia 2011 r. o systemie informacji w ochronie zdrowia i dodanie w art. 7 w ust. 1 pkt 8a w brzmieniu:</w:t>
            </w:r>
          </w:p>
          <w:p w14:paraId="3CAEEBD5" w14:textId="25045D8A" w:rsidR="00685B4B" w:rsidRPr="001941B0" w:rsidRDefault="006434B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„8a)</w:t>
            </w:r>
            <w:r w:rsidRPr="001941B0">
              <w:rPr>
                <w:rFonts w:eastAsiaTheme="minorEastAsia"/>
                <w:sz w:val="20"/>
                <w:szCs w:val="20"/>
              </w:rPr>
              <w:tab/>
              <w:t xml:space="preserve">dostęp Rzecznika Praw Pacjenta do danych niezbędnych do realizacji zadań określonych </w:t>
            </w:r>
            <w:r w:rsidRPr="001941B0">
              <w:rPr>
                <w:rFonts w:eastAsiaTheme="minorEastAsia"/>
                <w:sz w:val="20"/>
                <w:szCs w:val="20"/>
              </w:rPr>
              <w:br/>
              <w:t>w art. 47 ust. 1 pkt 1a oraz 3b ustawy z dnia 6 listopada 2008 r. o prawach pacjenta i Rzeczniku Praw Pacjenta;”.</w:t>
            </w:r>
          </w:p>
        </w:tc>
        <w:tc>
          <w:tcPr>
            <w:tcW w:w="2855" w:type="dxa"/>
            <w:shd w:val="clear" w:color="auto" w:fill="FFFFFF" w:themeFill="background1"/>
          </w:tcPr>
          <w:p w14:paraId="0230FFAD" w14:textId="547C962B" w:rsidR="00CE3ECB" w:rsidRPr="001941B0" w:rsidRDefault="00CE3ECB"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lastRenderedPageBreak/>
              <w:t>Uwaga nieuwzględniona</w:t>
            </w:r>
          </w:p>
          <w:p w14:paraId="1D9A160F" w14:textId="7C478CB3" w:rsidR="00685B4B" w:rsidRPr="001941B0" w:rsidRDefault="00076F20"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w:t>
            </w:r>
            <w:r w:rsidR="4FD42729" w:rsidRPr="001941B0">
              <w:rPr>
                <w:rFonts w:eastAsiaTheme="minorEastAsia"/>
                <w:sz w:val="20"/>
                <w:szCs w:val="20"/>
              </w:rPr>
              <w:t>oza zakres</w:t>
            </w:r>
            <w:r w:rsidRPr="001941B0">
              <w:rPr>
                <w:rFonts w:eastAsiaTheme="minorEastAsia"/>
                <w:sz w:val="20"/>
                <w:szCs w:val="20"/>
              </w:rPr>
              <w:t>em</w:t>
            </w:r>
            <w:r w:rsidR="4FD42729" w:rsidRPr="001941B0">
              <w:rPr>
                <w:rFonts w:eastAsiaTheme="minorEastAsia"/>
                <w:sz w:val="20"/>
                <w:szCs w:val="20"/>
              </w:rPr>
              <w:t xml:space="preserve"> projektowanej </w:t>
            </w:r>
            <w:r w:rsidRPr="001941B0">
              <w:rPr>
                <w:rFonts w:eastAsiaTheme="minorEastAsia"/>
                <w:sz w:val="20"/>
                <w:szCs w:val="20"/>
              </w:rPr>
              <w:t>regulacji</w:t>
            </w:r>
            <w:r w:rsidR="4FD42729" w:rsidRPr="001941B0">
              <w:rPr>
                <w:rFonts w:eastAsiaTheme="minorEastAsia"/>
                <w:sz w:val="20"/>
                <w:szCs w:val="20"/>
              </w:rPr>
              <w:t xml:space="preserve">. </w:t>
            </w:r>
          </w:p>
        </w:tc>
      </w:tr>
      <w:tr w:rsidR="00FC7212" w:rsidRPr="001941B0" w14:paraId="07563508" w14:textId="77777777" w:rsidTr="7139DBB9">
        <w:tc>
          <w:tcPr>
            <w:tcW w:w="1125" w:type="dxa"/>
            <w:shd w:val="clear" w:color="auto" w:fill="FFFFFF" w:themeFill="background1"/>
          </w:tcPr>
          <w:p w14:paraId="20353C83" w14:textId="77777777" w:rsidR="00751438" w:rsidRPr="001941B0" w:rsidRDefault="00751438"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55F24D0" w14:textId="56D8E0A6" w:rsidR="00751438" w:rsidRPr="001941B0" w:rsidRDefault="0075143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Rzecznik Praw Pacjenta</w:t>
            </w:r>
          </w:p>
        </w:tc>
        <w:tc>
          <w:tcPr>
            <w:tcW w:w="1949" w:type="dxa"/>
            <w:shd w:val="clear" w:color="auto" w:fill="FFFFFF" w:themeFill="background1"/>
          </w:tcPr>
          <w:p w14:paraId="1E141462" w14:textId="592F1905" w:rsidR="00751438" w:rsidRPr="001941B0" w:rsidRDefault="00751438"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035EBEC2" w14:textId="756D49FE" w:rsidR="00751438" w:rsidRPr="001941B0" w:rsidRDefault="006E0CB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Jednocześnie z uwagi na zakres regulowanej materii przedstawiłem ww. projekt działającej przy Rzeczniku Praw Pacjenta Radzie Ekspertów, która wyraziła poparcie dla kierunku wprowadzanych rozwiązań. </w:t>
            </w:r>
          </w:p>
        </w:tc>
        <w:tc>
          <w:tcPr>
            <w:tcW w:w="2855" w:type="dxa"/>
            <w:shd w:val="clear" w:color="auto" w:fill="FFFFFF" w:themeFill="background1"/>
          </w:tcPr>
          <w:p w14:paraId="64C8D312" w14:textId="7477DC41" w:rsidR="00751438" w:rsidRPr="001941B0" w:rsidRDefault="00751438"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o charakterze komentarza</w:t>
            </w:r>
          </w:p>
        </w:tc>
      </w:tr>
      <w:tr w:rsidR="00FC7212" w:rsidRPr="001941B0" w14:paraId="022FC38A" w14:textId="77777777" w:rsidTr="7139DBB9">
        <w:tc>
          <w:tcPr>
            <w:tcW w:w="1125" w:type="dxa"/>
            <w:shd w:val="clear" w:color="auto" w:fill="FFFFFF" w:themeFill="background1"/>
          </w:tcPr>
          <w:p w14:paraId="14642783" w14:textId="77777777" w:rsidR="00685B4B" w:rsidRPr="001941B0" w:rsidRDefault="00685B4B"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14C7A5F" w14:textId="61210731" w:rsidR="00685B4B" w:rsidRPr="001941B0" w:rsidRDefault="00E642FB" w:rsidP="00117926">
            <w:r w:rsidRPr="001941B0">
              <w:t>Prezes Urzędu Ochrony Danych Osobowych</w:t>
            </w:r>
          </w:p>
        </w:tc>
        <w:tc>
          <w:tcPr>
            <w:tcW w:w="1949" w:type="dxa"/>
            <w:shd w:val="clear" w:color="auto" w:fill="FFFFFF" w:themeFill="background1"/>
          </w:tcPr>
          <w:p w14:paraId="4DFF67AD" w14:textId="011626E2" w:rsidR="00685B4B" w:rsidRPr="001941B0" w:rsidRDefault="00E049DF"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39823CAC" w14:textId="77777777" w:rsidR="00636D89" w:rsidRPr="001941B0" w:rsidRDefault="00636D89" w:rsidP="00636D89">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Mocą projektowanej ustawy zakładane jest wprowadzenie </w:t>
            </w:r>
            <w:r w:rsidRPr="001941B0">
              <w:rPr>
                <w:rFonts w:eastAsiaTheme="minorEastAsia"/>
                <w:b/>
                <w:sz w:val="20"/>
                <w:szCs w:val="20"/>
              </w:rPr>
              <w:t>zasadniczych zmian w zakresie usług dotyczących e-zdrowia, poprzez stworzenie systemu e-Konsylium, systemu Domowej Opieki Medycznej, Hurtowni Danych e-Zdrowia oraz Platformy Usług Inteligentnych</w:t>
            </w:r>
            <w:r w:rsidRPr="001941B0">
              <w:rPr>
                <w:rFonts w:eastAsiaTheme="minorEastAsia"/>
                <w:sz w:val="20"/>
                <w:szCs w:val="20"/>
              </w:rPr>
              <w:t xml:space="preserve">. Projekt zakłada również wprowadzenie </w:t>
            </w:r>
            <w:r w:rsidRPr="001941B0">
              <w:rPr>
                <w:rFonts w:eastAsiaTheme="minorEastAsia"/>
                <w:b/>
                <w:sz w:val="20"/>
                <w:szCs w:val="20"/>
              </w:rPr>
              <w:t xml:space="preserve">nowego dokumentu </w:t>
            </w:r>
            <w:r w:rsidRPr="001941B0">
              <w:rPr>
                <w:rFonts w:eastAsiaTheme="minorEastAsia"/>
                <w:b/>
                <w:sz w:val="20"/>
                <w:szCs w:val="20"/>
              </w:rPr>
              <w:lastRenderedPageBreak/>
              <w:t>elektronicznego pn. karta pacjenta</w:t>
            </w:r>
            <w:r w:rsidRPr="001941B0">
              <w:rPr>
                <w:rFonts w:eastAsiaTheme="minorEastAsia"/>
                <w:sz w:val="20"/>
                <w:szCs w:val="20"/>
              </w:rPr>
              <w:t xml:space="preserve">, którego funkcjonowanie będzie miało zasadniczy wpływ na zasady przetwarzania dokumentacji medycznej oraz zakres tajemnicy medycznej. </w:t>
            </w:r>
          </w:p>
          <w:p w14:paraId="500CC64F" w14:textId="77777777" w:rsidR="00FF20DF" w:rsidRPr="001941B0" w:rsidRDefault="00FF20DF" w:rsidP="00FF20DF">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Narzędzia wprowadzane projektowaną ustawą będą </w:t>
            </w:r>
            <w:r w:rsidRPr="001941B0">
              <w:rPr>
                <w:rFonts w:eastAsiaTheme="minorEastAsia"/>
                <w:b/>
                <w:sz w:val="20"/>
                <w:szCs w:val="20"/>
              </w:rPr>
              <w:t>wykorzystywały systemy sztucznej inteligencji</w:t>
            </w:r>
            <w:r w:rsidRPr="001941B0">
              <w:rPr>
                <w:rFonts w:eastAsiaTheme="minorEastAsia"/>
                <w:sz w:val="20"/>
                <w:szCs w:val="20"/>
              </w:rPr>
              <w:t xml:space="preserve"> oraz będą </w:t>
            </w:r>
            <w:r w:rsidRPr="001941B0">
              <w:rPr>
                <w:rFonts w:eastAsiaTheme="minorEastAsia"/>
                <w:b/>
                <w:sz w:val="20"/>
                <w:szCs w:val="20"/>
              </w:rPr>
              <w:t xml:space="preserve">powiązane z Systemem Informacji w Ochronie </w:t>
            </w:r>
          </w:p>
          <w:p w14:paraId="4368D1AA" w14:textId="77777777" w:rsidR="00C823E6" w:rsidRPr="001941B0" w:rsidRDefault="00C823E6" w:rsidP="00C823E6">
            <w:pPr>
              <w:autoSpaceDE w:val="0"/>
              <w:autoSpaceDN w:val="0"/>
              <w:adjustRightInd w:val="0"/>
              <w:spacing w:after="0" w:line="240" w:lineRule="auto"/>
              <w:rPr>
                <w:rFonts w:eastAsiaTheme="minorEastAsia"/>
                <w:sz w:val="20"/>
                <w:szCs w:val="20"/>
              </w:rPr>
            </w:pPr>
            <w:r w:rsidRPr="001941B0">
              <w:rPr>
                <w:rFonts w:eastAsiaTheme="minorEastAsia"/>
                <w:b/>
                <w:sz w:val="20"/>
                <w:szCs w:val="20"/>
              </w:rPr>
              <w:t>Zdrowia</w:t>
            </w:r>
            <w:r w:rsidRPr="001941B0">
              <w:rPr>
                <w:rFonts w:eastAsiaTheme="minorEastAsia"/>
                <w:sz w:val="20"/>
                <w:szCs w:val="20"/>
              </w:rPr>
              <w:t xml:space="preserve"> oraz </w:t>
            </w:r>
            <w:r w:rsidRPr="001941B0">
              <w:rPr>
                <w:rFonts w:eastAsiaTheme="minorEastAsia"/>
                <w:b/>
                <w:sz w:val="20"/>
                <w:szCs w:val="20"/>
              </w:rPr>
              <w:t>rejestrami publicznymi, w których przetwarzane są dane dotyczące zdrowia</w:t>
            </w:r>
            <w:r w:rsidRPr="001941B0">
              <w:rPr>
                <w:rFonts w:eastAsiaTheme="minorEastAsia"/>
                <w:sz w:val="20"/>
                <w:szCs w:val="20"/>
              </w:rPr>
              <w:t xml:space="preserve">, tj. dane szczególnej kategorii podlegające wzmocnionej ochronie na podstawie przepisów rozporządzenia 2026/679, zwłaszcza jego art. 9. </w:t>
            </w:r>
          </w:p>
          <w:p w14:paraId="734CC766" w14:textId="2AD16F0B" w:rsidR="00B873E7" w:rsidRPr="001941B0" w:rsidRDefault="00C823E6" w:rsidP="00B873E7">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Wprowadzanie takich rozwiązań – ze względu na rodzaj przetwarzania, w szczególności z użyciem nowych technologii, którego charakter, zakres, kontekst i cele z dużym prawdopodobieństwem mogą powodować wysokie ryzyko naruszenia praw lub wolności osób fizycznych – implikuje konieczność przeprowadzenia testu prywatności i </w:t>
            </w:r>
            <w:r w:rsidRPr="001941B0">
              <w:rPr>
                <w:rFonts w:eastAsiaTheme="minorEastAsia"/>
                <w:b/>
                <w:sz w:val="20"/>
                <w:szCs w:val="20"/>
              </w:rPr>
              <w:t xml:space="preserve">oceny skutków dla ochrony danych </w:t>
            </w:r>
            <w:r w:rsidRPr="001941B0">
              <w:rPr>
                <w:rFonts w:eastAsiaTheme="minorEastAsia"/>
                <w:sz w:val="20"/>
                <w:szCs w:val="20"/>
              </w:rPr>
              <w:t xml:space="preserve">już w ramach przyjmowania podstawy prawnej przetwarzania, odpowiadającej wymogom art. 25 ust. 1 </w:t>
            </w:r>
            <w:r w:rsidRPr="001941B0">
              <w:rPr>
                <w:rFonts w:eastAsiaTheme="minorEastAsia"/>
                <w:sz w:val="20"/>
                <w:szCs w:val="20"/>
                <w:vertAlign w:val="superscript"/>
              </w:rPr>
              <w:footnoteReference w:id="5"/>
            </w:r>
            <w:r w:rsidRPr="001941B0">
              <w:rPr>
                <w:rFonts w:eastAsiaTheme="minorEastAsia"/>
                <w:sz w:val="20"/>
                <w:szCs w:val="20"/>
              </w:rPr>
              <w:t xml:space="preserve"> i art. 35 (w szczególności ust. 1 </w:t>
            </w:r>
            <w:r w:rsidRPr="001941B0">
              <w:rPr>
                <w:rFonts w:eastAsiaTheme="minorEastAsia"/>
                <w:sz w:val="20"/>
                <w:szCs w:val="20"/>
                <w:vertAlign w:val="superscript"/>
              </w:rPr>
              <w:footnoteReference w:id="6"/>
            </w:r>
            <w:r w:rsidRPr="001941B0">
              <w:rPr>
                <w:rFonts w:eastAsiaTheme="minorEastAsia"/>
                <w:sz w:val="20"/>
                <w:szCs w:val="20"/>
              </w:rPr>
              <w:t xml:space="preserve"> i ust. 10)</w:t>
            </w:r>
            <w:r w:rsidRPr="001941B0">
              <w:rPr>
                <w:rFonts w:eastAsiaTheme="minorEastAsia"/>
                <w:sz w:val="20"/>
                <w:szCs w:val="20"/>
                <w:vertAlign w:val="superscript"/>
              </w:rPr>
              <w:footnoteReference w:id="7"/>
            </w:r>
            <w:r w:rsidRPr="001941B0">
              <w:rPr>
                <w:rFonts w:eastAsiaTheme="minorEastAsia"/>
                <w:sz w:val="20"/>
                <w:szCs w:val="20"/>
              </w:rPr>
              <w:t xml:space="preserve">. </w:t>
            </w:r>
            <w:r w:rsidRPr="001941B0">
              <w:rPr>
                <w:rFonts w:eastAsiaTheme="minorEastAsia"/>
                <w:sz w:val="20"/>
                <w:szCs w:val="20"/>
              </w:rPr>
              <w:lastRenderedPageBreak/>
              <w:t>Wykorzystanie dla realizacji projektowanych rozwiązań technologii sztucznej inteligencji sprawia, że projekt ten powinien zostać także oceniony przez pryzmat zapewnienia stosowania Aktu w sprawie sztucznej inteligencji</w:t>
            </w:r>
            <w:r w:rsidRPr="001941B0">
              <w:rPr>
                <w:rFonts w:eastAsiaTheme="minorEastAsia"/>
                <w:sz w:val="20"/>
                <w:szCs w:val="20"/>
                <w:vertAlign w:val="superscript"/>
              </w:rPr>
              <w:footnoteReference w:id="8"/>
            </w:r>
            <w:r w:rsidRPr="001941B0">
              <w:rPr>
                <w:rFonts w:eastAsiaTheme="minorEastAsia"/>
                <w:sz w:val="20"/>
                <w:szCs w:val="20"/>
              </w:rPr>
              <w:t>, z uwzględnieniem jego art.</w:t>
            </w:r>
            <w:r w:rsidR="00B873E7" w:rsidRPr="001941B0">
              <w:rPr>
                <w:rFonts w:eastAsiaTheme="minorEastAsia"/>
                <w:sz w:val="20"/>
                <w:szCs w:val="20"/>
              </w:rPr>
              <w:t xml:space="preserve"> 27, także ust. 4 tej regulacji</w:t>
            </w:r>
            <w:r w:rsidR="009D45CC" w:rsidRPr="001941B0">
              <w:rPr>
                <w:rStyle w:val="Odwoanieprzypisudolnego"/>
                <w:rFonts w:eastAsiaTheme="minorEastAsia"/>
                <w:sz w:val="20"/>
                <w:szCs w:val="20"/>
              </w:rPr>
              <w:footnoteReference w:id="9"/>
            </w:r>
            <w:r w:rsidR="00B873E7" w:rsidRPr="001941B0">
              <w:rPr>
                <w:rFonts w:eastAsiaTheme="minorEastAsia"/>
                <w:sz w:val="20"/>
                <w:szCs w:val="20"/>
              </w:rPr>
              <w:t xml:space="preserve">, </w:t>
            </w:r>
            <w:r w:rsidR="00B873E7" w:rsidRPr="001941B0">
              <w:rPr>
                <w:rFonts w:eastAsiaTheme="minorEastAsia"/>
                <w:b/>
                <w:sz w:val="20"/>
                <w:szCs w:val="20"/>
              </w:rPr>
              <w:t>tj. oceny skutków systemów AI wysokiego ryzyka dla praw podstawowych</w:t>
            </w:r>
            <w:r w:rsidR="00B873E7" w:rsidRPr="001941B0">
              <w:rPr>
                <w:rFonts w:eastAsiaTheme="minorEastAsia"/>
                <w:sz w:val="20"/>
                <w:szCs w:val="20"/>
              </w:rPr>
              <w:t xml:space="preserve">. </w:t>
            </w:r>
          </w:p>
          <w:p w14:paraId="392869D2" w14:textId="612864AD" w:rsidR="00E26488" w:rsidRPr="001941B0" w:rsidRDefault="00B873E7" w:rsidP="00E26488">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Przeprowadzenie oceny skutków dla ochrony danych ułatwiłoby zbadanie ryzyk związanych z projektowanymi zmianami oraz wykazanie zgodności projektowanych rozwiązań z zasadami dotyczącymi przetwarzania danych </w:t>
            </w:r>
            <w:r w:rsidRPr="001941B0">
              <w:rPr>
                <w:rFonts w:eastAsiaTheme="minorEastAsia"/>
                <w:sz w:val="20"/>
                <w:szCs w:val="20"/>
              </w:rPr>
              <w:lastRenderedPageBreak/>
              <w:t>osobowych wynikającymi z art. 5 rozporządzenia 2016/679</w:t>
            </w:r>
            <w:r w:rsidR="0017441B" w:rsidRPr="001941B0">
              <w:rPr>
                <w:rStyle w:val="Odwoanieprzypisudolnego"/>
                <w:rFonts w:eastAsiaTheme="minorEastAsia"/>
                <w:sz w:val="20"/>
                <w:szCs w:val="20"/>
              </w:rPr>
              <w:footnoteReference w:id="10"/>
            </w:r>
            <w:r w:rsidRPr="001941B0">
              <w:rPr>
                <w:rFonts w:eastAsiaTheme="minorEastAsia"/>
                <w:sz w:val="20"/>
                <w:szCs w:val="20"/>
              </w:rPr>
              <w:t xml:space="preserve"> oraz spełnienia warunków przetwarzania danych osobowych określonych w art. 6 ust. 3 i art. 9 ust. 2 i 3 tego rozporządzenia, a także pozwoliłoby </w:t>
            </w:r>
            <w:r w:rsidR="00E26488" w:rsidRPr="001941B0">
              <w:rPr>
                <w:rFonts w:eastAsiaTheme="minorEastAsia"/>
                <w:sz w:val="20"/>
                <w:szCs w:val="20"/>
              </w:rPr>
              <w:t xml:space="preserve">ocenić czy rozwiązania zawarte w projekcie przewidują jednocześnie odpowiednie zabezpieczenia praw i wolności osób, których dane dotyczą. </w:t>
            </w:r>
          </w:p>
          <w:p w14:paraId="18DF5DF6" w14:textId="7918C967" w:rsidR="00E26488" w:rsidRPr="001941B0" w:rsidRDefault="00E26488" w:rsidP="00E26488">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uzasadnieniu do projektowanej ustawy projektodawca wskazał, że przeprowadził ocenę skutków dla ochrony danych, o której mowa w art. 35 ust. 1 rozporządzenia 2016/679, natomiast nie przedstawił wyników tej oceny. W ocenie organu nadzorczego właściwie przeprowadzona ocena skutków dla ochrony danych powinna doprowadzić do przyjęcia rozwiązań odpowiednio wyważonych oraz uniknięcia wskazywanych poniżej zastrzeżeń pod adresem tych regulacji z punktu widzenia zasad przetwarzania danych osobowych. Uzasadnienie do projektowanej ustawy nie wskazuje również czy została przeprowadzona ocena skutków systemów AI wysokiego ryzyka dla praw podstawowych. Przetwarzanie danych osobowych na potrzeby </w:t>
            </w:r>
            <w:r w:rsidRPr="001941B0">
              <w:rPr>
                <w:rFonts w:eastAsiaTheme="minorEastAsia"/>
                <w:i/>
                <w:sz w:val="20"/>
                <w:szCs w:val="20"/>
              </w:rPr>
              <w:t>ratio legis</w:t>
            </w:r>
            <w:r w:rsidRPr="001941B0">
              <w:rPr>
                <w:rFonts w:eastAsiaTheme="minorEastAsia"/>
                <w:sz w:val="20"/>
                <w:szCs w:val="20"/>
              </w:rPr>
              <w:t xml:space="preserve"> regulacji powinno być wyważone – istotą jest pogodzenie celów regulacji, a </w:t>
            </w:r>
            <w:r w:rsidRPr="001941B0">
              <w:rPr>
                <w:rFonts w:eastAsiaTheme="minorEastAsia"/>
                <w:sz w:val="20"/>
                <w:szCs w:val="20"/>
              </w:rPr>
              <w:lastRenderedPageBreak/>
              <w:t>zwłaszcza planowanych sposobów przetwarzania danych, określonych projektowanymi przepisami, z poszanowaniem praw osób, których danych dotyczą, oraz ochrony ich danych. Kształtowanie tych regulacji odpowiadać powinno następującym zasadom dotyczącym przetwarzania danych osobowych: a) zgodność z prawem, rzetelność i przejrzystość, b) ograniczenie celu, c) minimalizacja danych, d) prawidłowość, e) ograniczenie przechowywania, f) integralność i poufność oraz rozliczalność, zdefiniowanych w art. 5 rozporządzenia 2016/679. Rolą prawodawcy, twórcy przepisów kierowanych do wykonawców norm, jest przyjęcie takich przepisów krajowych, które uwzględniać będą w swej treści te zasady. W poszczególnych uwagach wskazane zostaną poniżej te aspekty.</w:t>
            </w:r>
          </w:p>
          <w:p w14:paraId="5A393788" w14:textId="61FDA804" w:rsidR="00685B4B" w:rsidRPr="001941B0" w:rsidRDefault="00E2648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Prezes UODO wskazuje, że wykorzystanie sztucznej inteligencji w diagnostyce medycznej, </w:t>
            </w:r>
            <w:r w:rsidRPr="001941B0">
              <w:rPr>
                <w:rFonts w:eastAsiaTheme="minorEastAsia"/>
                <w:b/>
                <w:sz w:val="20"/>
                <w:szCs w:val="20"/>
              </w:rPr>
              <w:t xml:space="preserve">zwłaszcza w kontekście profilowania w rozumieniu art. 22 rozporządzenia 2016/679, wiąże się z szeregiem potencjalnych zagrożeń dla ochrony danych osobowych, szczególnie gdy w procesie wykorzystuje się nieprawidłowe lub niedokładne dane </w:t>
            </w:r>
            <w:r w:rsidRPr="001941B0">
              <w:rPr>
                <w:rFonts w:eastAsiaTheme="minorEastAsia"/>
                <w:sz w:val="20"/>
                <w:szCs w:val="20"/>
              </w:rPr>
              <w:t xml:space="preserve">(np. pobrane bezpośrednio z aplikacji zainstalowanych na urządzeniach użytkowników). Zgodnie z art. 22 rozporządzenia 2016/679 każdej osobie fizycznej przysługuje prawo do niepodlegania decyzjom opartym wyłącznie o zautomatyzowane przetwarzanie danych, w tym profilowanie, które wywołują wobec niej skutki prawne lub w podobny sposób istotnie na nią wpływają. W przypadku podejmowania takich decyzji, które opierają się na szczególnych kategoriach danych, przepisy rozporządzenia 2016/679 przewidują konieczność spełnienia określonych warunków – a) niezbędności do zawarcia lub wykonania umowy między osobą, której dane dotyczą, a administratorem b) istnienia przepisów prawa przewidujących właściwe środki ochrony praw, wolności i prawnie uzasadnionych interesów osoby, której dane dotyczą; lub c) oparcia takich działań na wyraźnej zgodzie osoby, której dane dotyczą (art. 22 ust. 2) – oraz zastosowania art. 9 ust. 2 lit. a lub g oraz zapewnienia </w:t>
            </w:r>
            <w:r w:rsidRPr="001941B0">
              <w:rPr>
                <w:rFonts w:eastAsiaTheme="minorEastAsia"/>
                <w:sz w:val="20"/>
                <w:szCs w:val="20"/>
              </w:rPr>
              <w:lastRenderedPageBreak/>
              <w:t>właściwych środków ochrony praw, wolności i prawnie uzasadnionych interesów osoby, której dane dotyczą (art. 22 ust. 4 rozporządzenia 2016/679). Profilowanie w diagnostyce medycznej oparte na danych osobowych, zwłaszcza tych niepełnych lub błędnych, stanowi poważne zagrożenie zarówno z punktu widzenia ochrony danych osobowych, jak i zaufania do systemów medycznych. Naraża również pracownika medycznego na odpowiedzialność w związku z wykorzystaniem systemów sztucznej inteligencji. Ostateczna odpowiedzialność za podjęcie decyzji dotyczących leczenia oraz postawienia diagnozy spoczywa na pracowniku medycznym. Choć narzędzia oparte na sztucznej inteligencji mogą wspierać proces diagnostyczny, to tylko lekarz, na podstawie swojej wiedzy, doświadczenia oraz bezpośredniego kontaktu z pacjentem może podjąć ostateczną decyzję co do sposobu leczenia.</w:t>
            </w:r>
          </w:p>
        </w:tc>
        <w:tc>
          <w:tcPr>
            <w:tcW w:w="2855" w:type="dxa"/>
            <w:shd w:val="clear" w:color="auto" w:fill="FFFFFF" w:themeFill="background1"/>
          </w:tcPr>
          <w:p w14:paraId="08ADFF95" w14:textId="77777777" w:rsidR="00454D19" w:rsidRPr="001941B0" w:rsidRDefault="00E07B5F">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lastRenderedPageBreak/>
              <w:t>Wyjaśnienie</w:t>
            </w:r>
          </w:p>
          <w:p w14:paraId="7081665A" w14:textId="76AB666F" w:rsidR="00061D6E" w:rsidRPr="001941B0" w:rsidRDefault="00061D6E" w:rsidP="00454D19">
            <w:pPr>
              <w:autoSpaceDE w:val="0"/>
              <w:autoSpaceDN w:val="0"/>
              <w:adjustRightInd w:val="0"/>
              <w:spacing w:after="0" w:line="240" w:lineRule="auto"/>
              <w:rPr>
                <w:rFonts w:eastAsia="Times New Roman"/>
                <w:bCs/>
                <w:iCs/>
                <w:sz w:val="20"/>
                <w:szCs w:val="20"/>
              </w:rPr>
            </w:pPr>
            <w:r w:rsidRPr="001941B0">
              <w:rPr>
                <w:bCs/>
                <w:iCs/>
                <w:sz w:val="20"/>
                <w:szCs w:val="20"/>
              </w:rPr>
              <w:t>Wyjaśnia</w:t>
            </w:r>
            <w:r w:rsidRPr="001941B0">
              <w:rPr>
                <w:sz w:val="20"/>
                <w:szCs w:val="20"/>
              </w:rPr>
              <w:t xml:space="preserve"> się, że dla projektowanych rozwiązań została przygotowana ocena skutków dla ochrony danych osobowych (DPIA), </w:t>
            </w:r>
            <w:r w:rsidRPr="001941B0">
              <w:rPr>
                <w:rFonts w:cs="Lato-Regular"/>
                <w:sz w:val="20"/>
                <w:szCs w:val="20"/>
              </w:rPr>
              <w:t>ma</w:t>
            </w:r>
            <w:r w:rsidRPr="001941B0">
              <w:rPr>
                <w:rFonts w:eastAsia="Times New Roman"/>
                <w:bCs/>
                <w:iCs/>
                <w:sz w:val="20"/>
                <w:szCs w:val="20"/>
              </w:rPr>
              <w:t xml:space="preserve"> ona </w:t>
            </w:r>
            <w:r w:rsidRPr="001941B0">
              <w:rPr>
                <w:rFonts w:eastAsia="Times New Roman"/>
                <w:bCs/>
                <w:iCs/>
                <w:sz w:val="20"/>
                <w:szCs w:val="20"/>
              </w:rPr>
              <w:lastRenderedPageBreak/>
              <w:t>jednak charakter operacyjny i z tego</w:t>
            </w:r>
            <w:r w:rsidR="00454D19" w:rsidRPr="001941B0">
              <w:rPr>
                <w:rFonts w:eastAsia="Times New Roman"/>
                <w:bCs/>
                <w:iCs/>
                <w:sz w:val="20"/>
                <w:szCs w:val="20"/>
              </w:rPr>
              <w:t xml:space="preserve"> </w:t>
            </w:r>
            <w:r w:rsidRPr="001941B0">
              <w:rPr>
                <w:rFonts w:eastAsia="Times New Roman"/>
                <w:bCs/>
                <w:iCs/>
                <w:sz w:val="20"/>
                <w:szCs w:val="20"/>
              </w:rPr>
              <w:t>względu nie jest publikowana, gdyż jej ujawnienie mogłoby zwiększyć ryzyko</w:t>
            </w:r>
            <w:r w:rsidR="007F113A" w:rsidRPr="001941B0">
              <w:rPr>
                <w:rFonts w:eastAsia="Times New Roman"/>
                <w:bCs/>
                <w:iCs/>
                <w:sz w:val="20"/>
                <w:szCs w:val="20"/>
              </w:rPr>
              <w:t xml:space="preserve"> </w:t>
            </w:r>
            <w:r w:rsidRPr="001941B0">
              <w:rPr>
                <w:rFonts w:eastAsia="Times New Roman"/>
                <w:sz w:val="20"/>
                <w:szCs w:val="20"/>
              </w:rPr>
              <w:t>naruszenia bezpieczeństwa przetwarzania danych.</w:t>
            </w:r>
          </w:p>
          <w:p w14:paraId="60143485" w14:textId="756A1780" w:rsidR="00685B4B" w:rsidRPr="001941B0" w:rsidRDefault="007F113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Dokument</w:t>
            </w:r>
            <w:r w:rsidR="000D3012" w:rsidRPr="001941B0">
              <w:rPr>
                <w:rFonts w:eastAsiaTheme="minorEastAsia"/>
                <w:sz w:val="20"/>
                <w:szCs w:val="20"/>
              </w:rPr>
              <w:t xml:space="preserve"> może zostać ud</w:t>
            </w:r>
            <w:r w:rsidR="00382591" w:rsidRPr="001941B0">
              <w:rPr>
                <w:rFonts w:eastAsiaTheme="minorEastAsia"/>
                <w:sz w:val="20"/>
                <w:szCs w:val="20"/>
              </w:rPr>
              <w:t>ostępniony</w:t>
            </w:r>
            <w:r w:rsidR="00FE1716" w:rsidRPr="001941B0">
              <w:rPr>
                <w:rFonts w:eastAsiaTheme="minorEastAsia"/>
                <w:sz w:val="20"/>
                <w:szCs w:val="20"/>
              </w:rPr>
              <w:t xml:space="preserve"> PUODO.</w:t>
            </w:r>
            <w:r w:rsidR="005952F9" w:rsidRPr="001941B0">
              <w:rPr>
                <w:rFonts w:eastAsiaTheme="minorEastAsia"/>
                <w:sz w:val="20"/>
                <w:szCs w:val="20"/>
              </w:rPr>
              <w:t xml:space="preserve"> </w:t>
            </w:r>
          </w:p>
        </w:tc>
      </w:tr>
      <w:tr w:rsidR="00FC7212" w:rsidRPr="001941B0" w14:paraId="1FA8A67B" w14:textId="77777777" w:rsidTr="7139DBB9">
        <w:tc>
          <w:tcPr>
            <w:tcW w:w="1125" w:type="dxa"/>
            <w:shd w:val="clear" w:color="auto" w:fill="FFFFFF" w:themeFill="background1"/>
          </w:tcPr>
          <w:p w14:paraId="4A172390" w14:textId="77777777" w:rsidR="006E0CB2" w:rsidRPr="001941B0" w:rsidRDefault="006E0CB2"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4BC218D" w14:textId="6ED9C96C" w:rsidR="006E0CB2" w:rsidRPr="001941B0" w:rsidRDefault="00747024" w:rsidP="006E0CB2">
            <w:pPr>
              <w:autoSpaceDE w:val="0"/>
              <w:autoSpaceDN w:val="0"/>
              <w:adjustRightInd w:val="0"/>
              <w:spacing w:after="0" w:line="240" w:lineRule="auto"/>
              <w:rPr>
                <w:rFonts w:eastAsiaTheme="minorEastAsia"/>
                <w:sz w:val="20"/>
                <w:szCs w:val="20"/>
              </w:rPr>
            </w:pPr>
            <w:r w:rsidRPr="001941B0">
              <w:t>Prezes Urzędu Ochrony Danych Osobowych</w:t>
            </w:r>
          </w:p>
        </w:tc>
        <w:tc>
          <w:tcPr>
            <w:tcW w:w="1949" w:type="dxa"/>
            <w:shd w:val="clear" w:color="auto" w:fill="FFFFFF" w:themeFill="background1"/>
          </w:tcPr>
          <w:p w14:paraId="7060210B" w14:textId="34112A3F" w:rsidR="006E0CB2" w:rsidRPr="001941B0" w:rsidRDefault="00747024" w:rsidP="006E0CB2">
            <w:pPr>
              <w:autoSpaceDE w:val="0"/>
              <w:autoSpaceDN w:val="0"/>
              <w:adjustRightInd w:val="0"/>
              <w:spacing w:after="0" w:line="240" w:lineRule="auto"/>
              <w:rPr>
                <w:rFonts w:eastAsiaTheme="minorEastAsia"/>
                <w:sz w:val="20"/>
                <w:szCs w:val="20"/>
              </w:rPr>
            </w:pPr>
            <w:r w:rsidRPr="001941B0">
              <w:rPr>
                <w:rFonts w:cs="Calibri"/>
                <w:sz w:val="20"/>
                <w:szCs w:val="20"/>
              </w:rPr>
              <w:t>Uwaga ogólna</w:t>
            </w:r>
          </w:p>
        </w:tc>
        <w:tc>
          <w:tcPr>
            <w:tcW w:w="5652" w:type="dxa"/>
            <w:shd w:val="clear" w:color="auto" w:fill="FFFFFF" w:themeFill="background1"/>
          </w:tcPr>
          <w:p w14:paraId="32E0A8E5" w14:textId="4B37BF59" w:rsidR="006E0CB2" w:rsidRPr="001941B0" w:rsidRDefault="003C466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Pragnę jednocześnie podkreślić, że uwagi organu nadzorczego przedstawiane w toku prac legislacyjnych mają charakter eksperckich wskazówek dla Projektodawcy, który podejmuje decyzję co do ostatecznego kształtu przyjmowanych przepisów i odpowiada za zapewnienie ich zgodności z przepisami o ochronie danych osobowych.</w:t>
            </w:r>
          </w:p>
        </w:tc>
        <w:tc>
          <w:tcPr>
            <w:tcW w:w="2855" w:type="dxa"/>
            <w:shd w:val="clear" w:color="auto" w:fill="FFFFFF" w:themeFill="background1"/>
          </w:tcPr>
          <w:p w14:paraId="6FBC2371" w14:textId="1F8F6E17" w:rsidR="006E0CB2" w:rsidRPr="001941B0" w:rsidRDefault="008A6ECC" w:rsidP="006E0CB2">
            <w:pPr>
              <w:autoSpaceDE w:val="0"/>
              <w:autoSpaceDN w:val="0"/>
              <w:adjustRightInd w:val="0"/>
              <w:spacing w:after="0" w:line="240" w:lineRule="auto"/>
              <w:rPr>
                <w:rFonts w:eastAsiaTheme="minorEastAsia"/>
                <w:b/>
                <w:sz w:val="20"/>
                <w:szCs w:val="20"/>
              </w:rPr>
            </w:pPr>
            <w:r w:rsidRPr="001941B0">
              <w:rPr>
                <w:rFonts w:eastAsiaTheme="minorEastAsia"/>
                <w:b/>
                <w:bCs/>
                <w:sz w:val="20"/>
                <w:szCs w:val="20"/>
              </w:rPr>
              <w:t>Uwaga o charakterze komentarza</w:t>
            </w:r>
          </w:p>
        </w:tc>
      </w:tr>
      <w:tr w:rsidR="00952A06" w:rsidRPr="001941B0" w14:paraId="790A3C6B" w14:textId="77777777" w:rsidTr="00DE7BB4">
        <w:tc>
          <w:tcPr>
            <w:tcW w:w="14316" w:type="dxa"/>
            <w:gridSpan w:val="5"/>
            <w:shd w:val="clear" w:color="auto" w:fill="D1D1D1" w:themeFill="background2" w:themeFillShade="E6"/>
          </w:tcPr>
          <w:p w14:paraId="397282A1" w14:textId="32500D08" w:rsidR="0063705A" w:rsidRPr="001941B0" w:rsidRDefault="0063705A" w:rsidP="006E0CB2">
            <w:pPr>
              <w:autoSpaceDE w:val="0"/>
              <w:autoSpaceDN w:val="0"/>
              <w:adjustRightInd w:val="0"/>
              <w:spacing w:after="0" w:line="240" w:lineRule="auto"/>
              <w:rPr>
                <w:rFonts w:cstheme="minorHAnsi"/>
                <w:sz w:val="20"/>
                <w:szCs w:val="20"/>
              </w:rPr>
            </w:pPr>
            <w:bookmarkStart w:id="1" w:name="Uwagi_do_artykułów"/>
            <w:r w:rsidRPr="001941B0">
              <w:rPr>
                <w:b/>
                <w:sz w:val="20"/>
                <w:szCs w:val="20"/>
              </w:rPr>
              <w:t>Uwagi do artykułów</w:t>
            </w:r>
            <w:bookmarkEnd w:id="1"/>
          </w:p>
        </w:tc>
      </w:tr>
      <w:tr w:rsidR="00952A06" w:rsidRPr="001941B0" w14:paraId="3AC21670" w14:textId="77777777" w:rsidTr="00DE7BB4">
        <w:tc>
          <w:tcPr>
            <w:tcW w:w="14316" w:type="dxa"/>
            <w:gridSpan w:val="5"/>
            <w:shd w:val="clear" w:color="auto" w:fill="ADADAD" w:themeFill="background2" w:themeFillShade="BF"/>
          </w:tcPr>
          <w:p w14:paraId="3A99D661" w14:textId="47B9CD5C" w:rsidR="0063705A" w:rsidRPr="001941B0" w:rsidRDefault="0063705A" w:rsidP="006E0CB2">
            <w:pPr>
              <w:autoSpaceDE w:val="0"/>
              <w:autoSpaceDN w:val="0"/>
              <w:adjustRightInd w:val="0"/>
              <w:spacing w:after="0" w:line="240" w:lineRule="auto"/>
              <w:rPr>
                <w:rFonts w:cstheme="minorHAnsi"/>
                <w:b/>
                <w:sz w:val="20"/>
                <w:szCs w:val="20"/>
              </w:rPr>
            </w:pPr>
            <w:bookmarkStart w:id="2" w:name="ART_1"/>
            <w:r w:rsidRPr="001941B0">
              <w:rPr>
                <w:rFonts w:cstheme="minorHAnsi"/>
                <w:b/>
                <w:sz w:val="20"/>
                <w:szCs w:val="20"/>
              </w:rPr>
              <w:t>ART. 1</w:t>
            </w:r>
            <w:bookmarkEnd w:id="2"/>
          </w:p>
        </w:tc>
      </w:tr>
      <w:tr w:rsidR="00FC7212" w:rsidRPr="001941B0" w14:paraId="7D89ED43" w14:textId="77777777" w:rsidTr="7139DBB9">
        <w:trPr>
          <w:trHeight w:val="567"/>
        </w:trPr>
        <w:tc>
          <w:tcPr>
            <w:tcW w:w="1125" w:type="dxa"/>
            <w:shd w:val="clear" w:color="auto" w:fill="FFFFFF" w:themeFill="background1"/>
          </w:tcPr>
          <w:p w14:paraId="42E3A04D"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1898D1B" w14:textId="7074CD42"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04F70434" w14:textId="533222BA" w:rsidR="0063705A" w:rsidRPr="001941B0" w:rsidRDefault="0063705A" w:rsidP="006E0CB2">
            <w:pPr>
              <w:autoSpaceDE w:val="0"/>
              <w:autoSpaceDN w:val="0"/>
              <w:adjustRightInd w:val="0"/>
              <w:spacing w:after="0" w:line="240" w:lineRule="auto"/>
              <w:rPr>
                <w:rFonts w:cs="Calibri"/>
                <w:sz w:val="20"/>
                <w:szCs w:val="20"/>
              </w:rPr>
            </w:pPr>
            <w:r w:rsidRPr="001941B0">
              <w:rPr>
                <w:rFonts w:cs="Calibri"/>
                <w:bCs/>
                <w:iCs/>
                <w:sz w:val="20"/>
                <w:szCs w:val="20"/>
              </w:rPr>
              <w:t>Art. 1</w:t>
            </w:r>
          </w:p>
        </w:tc>
        <w:tc>
          <w:tcPr>
            <w:tcW w:w="5652" w:type="dxa"/>
            <w:shd w:val="clear" w:color="auto" w:fill="FFFFFF" w:themeFill="background1"/>
          </w:tcPr>
          <w:p w14:paraId="4A206456" w14:textId="3760BB3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Rozszerzenie możliwości upoważniania do wystawiania/dokonywania wpisów w EDM wymaga doprecyzowania ról i kontroli jakości w dokumentach krytycznych klinicznie (e</w:t>
            </w:r>
            <w:r w:rsidRPr="001941B0">
              <w:rPr>
                <w:rFonts w:ascii="Cambria Math" w:hAnsi="Cambria Math" w:cs="Cambria Math"/>
                <w:bCs/>
                <w:iCs/>
                <w:sz w:val="20"/>
                <w:szCs w:val="20"/>
              </w:rPr>
              <w:t>‑</w:t>
            </w:r>
            <w:r w:rsidRPr="001941B0">
              <w:rPr>
                <w:rFonts w:cs="Calibri"/>
                <w:bCs/>
                <w:iCs/>
                <w:sz w:val="20"/>
                <w:szCs w:val="20"/>
              </w:rPr>
              <w:t>KoK, opisy konsultacji).</w:t>
            </w:r>
          </w:p>
          <w:p w14:paraId="57B61B58"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0043F296"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W kardiologii jakość wpisu w e</w:t>
            </w:r>
            <w:r w:rsidRPr="001941B0">
              <w:rPr>
                <w:rFonts w:ascii="Cambria Math" w:hAnsi="Cambria Math" w:cs="Cambria Math"/>
                <w:bCs/>
                <w:iCs/>
                <w:sz w:val="20"/>
                <w:szCs w:val="20"/>
              </w:rPr>
              <w:t>‑</w:t>
            </w:r>
            <w:r w:rsidRPr="001941B0">
              <w:rPr>
                <w:rFonts w:cs="Calibri"/>
                <w:bCs/>
                <w:iCs/>
                <w:sz w:val="20"/>
                <w:szCs w:val="20"/>
              </w:rPr>
              <w:t>KoK i dokumentach EDM wp</w:t>
            </w:r>
            <w:r w:rsidRPr="001941B0">
              <w:rPr>
                <w:rFonts w:cs="Aptos"/>
                <w:bCs/>
                <w:iCs/>
                <w:sz w:val="20"/>
                <w:szCs w:val="20"/>
              </w:rPr>
              <w:t>ł</w:t>
            </w:r>
            <w:r w:rsidRPr="001941B0">
              <w:rPr>
                <w:rFonts w:cs="Calibri"/>
                <w:bCs/>
                <w:iCs/>
                <w:sz w:val="20"/>
                <w:szCs w:val="20"/>
              </w:rPr>
              <w:t>ywa na decyzje (kwalifikacja, leczenie, transfer pacjenta do innego oddzia</w:t>
            </w:r>
            <w:r w:rsidRPr="001941B0">
              <w:rPr>
                <w:rFonts w:cs="Aptos"/>
                <w:bCs/>
                <w:iCs/>
                <w:sz w:val="20"/>
                <w:szCs w:val="20"/>
              </w:rPr>
              <w:t>ł</w:t>
            </w:r>
            <w:r w:rsidRPr="001941B0">
              <w:rPr>
                <w:rFonts w:cs="Calibri"/>
                <w:bCs/>
                <w:iCs/>
                <w:sz w:val="20"/>
                <w:szCs w:val="20"/>
              </w:rPr>
              <w:t>u/innej plac</w:t>
            </w:r>
            <w:r w:rsidRPr="001941B0">
              <w:rPr>
                <w:rFonts w:cs="Aptos"/>
                <w:bCs/>
                <w:iCs/>
                <w:sz w:val="20"/>
                <w:szCs w:val="20"/>
              </w:rPr>
              <w:t>ó</w:t>
            </w:r>
            <w:r w:rsidRPr="001941B0">
              <w:rPr>
                <w:rFonts w:cs="Calibri"/>
                <w:bCs/>
                <w:iCs/>
                <w:sz w:val="20"/>
                <w:szCs w:val="20"/>
              </w:rPr>
              <w:t>wki). Niewystarczaj</w:t>
            </w:r>
            <w:r w:rsidRPr="001941B0">
              <w:rPr>
                <w:rFonts w:cs="Aptos"/>
                <w:bCs/>
                <w:iCs/>
                <w:sz w:val="20"/>
                <w:szCs w:val="20"/>
              </w:rPr>
              <w:t>ą</w:t>
            </w:r>
            <w:r w:rsidRPr="001941B0">
              <w:rPr>
                <w:rFonts w:cs="Calibri"/>
                <w:bCs/>
                <w:iCs/>
                <w:sz w:val="20"/>
                <w:szCs w:val="20"/>
              </w:rPr>
              <w:t>ca kontrola mo</w:t>
            </w:r>
            <w:r w:rsidRPr="001941B0">
              <w:rPr>
                <w:rFonts w:cs="Aptos"/>
                <w:bCs/>
                <w:iCs/>
                <w:sz w:val="20"/>
                <w:szCs w:val="20"/>
              </w:rPr>
              <w:t>ż</w:t>
            </w:r>
            <w:r w:rsidRPr="001941B0">
              <w:rPr>
                <w:rFonts w:cs="Calibri"/>
                <w:bCs/>
                <w:iCs/>
                <w:sz w:val="20"/>
                <w:szCs w:val="20"/>
              </w:rPr>
              <w:t>e prowadzi</w:t>
            </w:r>
            <w:r w:rsidRPr="001941B0">
              <w:rPr>
                <w:rFonts w:cs="Aptos"/>
                <w:bCs/>
                <w:iCs/>
                <w:sz w:val="20"/>
                <w:szCs w:val="20"/>
              </w:rPr>
              <w:t>ć</w:t>
            </w:r>
            <w:r w:rsidRPr="001941B0">
              <w:rPr>
                <w:rFonts w:cs="Calibri"/>
                <w:bCs/>
                <w:iCs/>
                <w:sz w:val="20"/>
                <w:szCs w:val="20"/>
              </w:rPr>
              <w:t xml:space="preserve"> do b</w:t>
            </w:r>
            <w:r w:rsidRPr="001941B0">
              <w:rPr>
                <w:rFonts w:cs="Aptos"/>
                <w:bCs/>
                <w:iCs/>
                <w:sz w:val="20"/>
                <w:szCs w:val="20"/>
              </w:rPr>
              <w:t>łę</w:t>
            </w:r>
            <w:r w:rsidRPr="001941B0">
              <w:rPr>
                <w:rFonts w:cs="Calibri"/>
                <w:bCs/>
                <w:iCs/>
                <w:sz w:val="20"/>
                <w:szCs w:val="20"/>
              </w:rPr>
              <w:t>d</w:t>
            </w:r>
            <w:r w:rsidRPr="001941B0">
              <w:rPr>
                <w:rFonts w:cs="Aptos"/>
                <w:bCs/>
                <w:iCs/>
                <w:sz w:val="20"/>
                <w:szCs w:val="20"/>
              </w:rPr>
              <w:t>ó</w:t>
            </w:r>
            <w:r w:rsidRPr="001941B0">
              <w:rPr>
                <w:rFonts w:cs="Calibri"/>
                <w:bCs/>
                <w:iCs/>
                <w:sz w:val="20"/>
                <w:szCs w:val="20"/>
              </w:rPr>
              <w:t>w procesu (np. niezgodność z kluczowymi zaleceniami, brak danych jakościowych).</w:t>
            </w:r>
          </w:p>
          <w:p w14:paraId="49BE2262"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1E39E4CB"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Wymaganie:  </w:t>
            </w:r>
          </w:p>
          <w:p w14:paraId="011A1BAE" w14:textId="059F0BB9" w:rsidR="0063705A" w:rsidRPr="001941B0" w:rsidRDefault="00841006" w:rsidP="00841006">
            <w:pPr>
              <w:autoSpaceDE w:val="0"/>
              <w:autoSpaceDN w:val="0"/>
              <w:adjustRightInd w:val="0"/>
              <w:spacing w:after="0" w:line="240" w:lineRule="auto"/>
              <w:rPr>
                <w:rFonts w:cs="Calibri"/>
                <w:bCs/>
                <w:iCs/>
                <w:sz w:val="20"/>
                <w:szCs w:val="20"/>
              </w:rPr>
            </w:pPr>
            <w:r w:rsidRPr="001941B0">
              <w:rPr>
                <w:rFonts w:cs="Calibri"/>
                <w:bCs/>
                <w:iCs/>
                <w:sz w:val="20"/>
                <w:szCs w:val="20"/>
              </w:rPr>
              <w:lastRenderedPageBreak/>
              <w:t xml:space="preserve">1. </w:t>
            </w:r>
            <w:r w:rsidR="0063705A" w:rsidRPr="001941B0">
              <w:rPr>
                <w:rFonts w:cs="Calibri"/>
                <w:bCs/>
                <w:iCs/>
                <w:sz w:val="20"/>
                <w:szCs w:val="20"/>
              </w:rPr>
              <w:t>rejestrowania kto wykonał wpis (osoba upoważniona) i kto go zatwierdził (elektronicznie);</w:t>
            </w:r>
          </w:p>
          <w:p w14:paraId="1368E5A2" w14:textId="28FC68B0" w:rsidR="0063705A" w:rsidRPr="001941B0" w:rsidRDefault="00841006" w:rsidP="00841006">
            <w:pPr>
              <w:autoSpaceDE w:val="0"/>
              <w:autoSpaceDN w:val="0"/>
              <w:adjustRightInd w:val="0"/>
              <w:spacing w:after="0" w:line="240" w:lineRule="auto"/>
              <w:rPr>
                <w:rFonts w:cs="Calibri"/>
                <w:sz w:val="20"/>
                <w:szCs w:val="20"/>
              </w:rPr>
            </w:pPr>
            <w:r w:rsidRPr="001941B0">
              <w:rPr>
                <w:rFonts w:cs="Calibri"/>
                <w:bCs/>
                <w:iCs/>
                <w:sz w:val="20"/>
                <w:szCs w:val="20"/>
              </w:rPr>
              <w:t xml:space="preserve">2. </w:t>
            </w:r>
            <w:r w:rsidR="0063705A" w:rsidRPr="001941B0">
              <w:rPr>
                <w:rFonts w:cs="Calibri"/>
                <w:bCs/>
                <w:iCs/>
                <w:sz w:val="20"/>
                <w:szCs w:val="20"/>
              </w:rPr>
              <w:t>minimalnych zasad walidacji danych w e</w:t>
            </w:r>
            <w:r w:rsidR="0063705A" w:rsidRPr="001941B0">
              <w:rPr>
                <w:rFonts w:ascii="Cambria Math" w:hAnsi="Cambria Math" w:cs="Cambria Math"/>
                <w:bCs/>
                <w:iCs/>
                <w:sz w:val="20"/>
                <w:szCs w:val="20"/>
              </w:rPr>
              <w:t>‑</w:t>
            </w:r>
            <w:r w:rsidR="0063705A" w:rsidRPr="001941B0">
              <w:rPr>
                <w:rFonts w:cs="Calibri"/>
                <w:bCs/>
                <w:iCs/>
                <w:sz w:val="20"/>
                <w:szCs w:val="20"/>
              </w:rPr>
              <w:t>KoK (kontrola sp</w:t>
            </w:r>
            <w:r w:rsidR="0063705A" w:rsidRPr="001941B0">
              <w:rPr>
                <w:rFonts w:cs="Aptos"/>
                <w:bCs/>
                <w:iCs/>
                <w:sz w:val="20"/>
                <w:szCs w:val="20"/>
              </w:rPr>
              <w:t>ó</w:t>
            </w:r>
            <w:r w:rsidR="0063705A" w:rsidRPr="001941B0">
              <w:rPr>
                <w:rFonts w:cs="Calibri"/>
                <w:bCs/>
                <w:iCs/>
                <w:sz w:val="20"/>
                <w:szCs w:val="20"/>
              </w:rPr>
              <w:t>jno</w:t>
            </w:r>
            <w:r w:rsidR="0063705A" w:rsidRPr="001941B0">
              <w:rPr>
                <w:rFonts w:cs="Aptos"/>
                <w:bCs/>
                <w:iCs/>
                <w:sz w:val="20"/>
                <w:szCs w:val="20"/>
              </w:rPr>
              <w:t>ś</w:t>
            </w:r>
            <w:r w:rsidR="0063705A" w:rsidRPr="001941B0">
              <w:rPr>
                <w:rFonts w:cs="Calibri"/>
                <w:bCs/>
                <w:iCs/>
                <w:sz w:val="20"/>
                <w:szCs w:val="20"/>
              </w:rPr>
              <w:t>ci).</w:t>
            </w:r>
          </w:p>
        </w:tc>
        <w:tc>
          <w:tcPr>
            <w:tcW w:w="2855" w:type="dxa"/>
            <w:shd w:val="clear" w:color="auto" w:fill="FFFFFF" w:themeFill="background1"/>
          </w:tcPr>
          <w:p w14:paraId="35929E51" w14:textId="77777777" w:rsidR="00B3483E" w:rsidRPr="001941B0" w:rsidRDefault="00B3483E" w:rsidP="00B3483E">
            <w:pPr>
              <w:autoSpaceDE w:val="0"/>
              <w:autoSpaceDN w:val="0"/>
              <w:adjustRightInd w:val="0"/>
              <w:spacing w:after="0" w:line="240" w:lineRule="auto"/>
              <w:rPr>
                <w:b/>
                <w:bCs/>
                <w:sz w:val="20"/>
                <w:szCs w:val="20"/>
              </w:rPr>
            </w:pPr>
            <w:r w:rsidRPr="001941B0">
              <w:rPr>
                <w:b/>
                <w:bCs/>
                <w:sz w:val="20"/>
                <w:szCs w:val="20"/>
              </w:rPr>
              <w:lastRenderedPageBreak/>
              <w:t>Wyjaśnienie</w:t>
            </w:r>
          </w:p>
          <w:p w14:paraId="6566D2FB" w14:textId="37E0D5BD" w:rsidR="00B3483E" w:rsidRPr="001941B0" w:rsidRDefault="00A33E2E" w:rsidP="006E0CB2">
            <w:pPr>
              <w:spacing w:after="0" w:line="240" w:lineRule="auto"/>
              <w:rPr>
                <w:sz w:val="20"/>
                <w:szCs w:val="20"/>
              </w:rPr>
            </w:pPr>
            <w:r w:rsidRPr="001941B0">
              <w:rPr>
                <w:sz w:val="20"/>
                <w:szCs w:val="20"/>
              </w:rPr>
              <w:t xml:space="preserve">Obecne rozwiązania umożliwiają identyfikację </w:t>
            </w:r>
            <w:r w:rsidR="00B3483E" w:rsidRPr="001941B0">
              <w:rPr>
                <w:sz w:val="20"/>
                <w:szCs w:val="20"/>
              </w:rPr>
              <w:t>osoby dokonującej wpisu w dokumentacji medycznej.</w:t>
            </w:r>
          </w:p>
          <w:p w14:paraId="33C57BD2" w14:textId="77777777" w:rsidR="00B3483E" w:rsidRPr="001941B0" w:rsidRDefault="00B3483E" w:rsidP="006E0CB2">
            <w:pPr>
              <w:spacing w:after="0" w:line="240" w:lineRule="auto"/>
              <w:rPr>
                <w:sz w:val="20"/>
                <w:szCs w:val="20"/>
              </w:rPr>
            </w:pPr>
          </w:p>
          <w:p w14:paraId="4744C0AD" w14:textId="380D8D48" w:rsidR="0063705A" w:rsidRPr="001941B0" w:rsidRDefault="0063705A" w:rsidP="006E0CB2">
            <w:pPr>
              <w:spacing w:after="0" w:line="240" w:lineRule="auto"/>
              <w:rPr>
                <w:bCs/>
                <w:iCs/>
                <w:sz w:val="20"/>
                <w:szCs w:val="20"/>
              </w:rPr>
            </w:pPr>
            <w:r w:rsidRPr="001941B0">
              <w:rPr>
                <w:sz w:val="20"/>
                <w:szCs w:val="20"/>
              </w:rPr>
              <w:t xml:space="preserve"> </w:t>
            </w:r>
            <w:r w:rsidR="00B3483E" w:rsidRPr="001941B0">
              <w:rPr>
                <w:sz w:val="20"/>
                <w:szCs w:val="20"/>
              </w:rPr>
              <w:t xml:space="preserve"> </w:t>
            </w:r>
          </w:p>
          <w:p w14:paraId="5E43DB3E" w14:textId="5EC3F94D" w:rsidR="0063705A" w:rsidRPr="001941B0" w:rsidRDefault="0063705A" w:rsidP="006E0CB2">
            <w:pPr>
              <w:autoSpaceDE w:val="0"/>
              <w:autoSpaceDN w:val="0"/>
              <w:adjustRightInd w:val="0"/>
              <w:spacing w:after="0" w:line="240" w:lineRule="auto"/>
              <w:rPr>
                <w:sz w:val="20"/>
                <w:szCs w:val="20"/>
              </w:rPr>
            </w:pPr>
          </w:p>
          <w:p w14:paraId="3A3E27CE" w14:textId="0665AB6B" w:rsidR="0063705A" w:rsidRPr="001941B0" w:rsidRDefault="0063705A" w:rsidP="006E0CB2">
            <w:pPr>
              <w:autoSpaceDE w:val="0"/>
              <w:autoSpaceDN w:val="0"/>
              <w:adjustRightInd w:val="0"/>
              <w:spacing w:after="0" w:line="240" w:lineRule="auto"/>
              <w:rPr>
                <w:sz w:val="20"/>
                <w:szCs w:val="20"/>
              </w:rPr>
            </w:pPr>
          </w:p>
        </w:tc>
      </w:tr>
      <w:tr w:rsidR="00FC7212" w:rsidRPr="001941B0" w14:paraId="232CF520" w14:textId="77777777" w:rsidTr="7139DBB9">
        <w:tc>
          <w:tcPr>
            <w:tcW w:w="1125" w:type="dxa"/>
            <w:shd w:val="clear" w:color="auto" w:fill="FFFFFF" w:themeFill="background1"/>
          </w:tcPr>
          <w:p w14:paraId="3CC70EF6"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B95CCD5" w14:textId="3A2F58ED"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Centrum e-Zdrowia</w:t>
            </w:r>
          </w:p>
        </w:tc>
        <w:tc>
          <w:tcPr>
            <w:tcW w:w="1949" w:type="dxa"/>
            <w:shd w:val="clear" w:color="auto" w:fill="FFFFFF" w:themeFill="background1"/>
          </w:tcPr>
          <w:p w14:paraId="7CDFDC92" w14:textId="6172FA99" w:rsidR="0063705A" w:rsidRPr="001941B0" w:rsidRDefault="00074EE7" w:rsidP="006E0CB2">
            <w:pPr>
              <w:autoSpaceDE w:val="0"/>
              <w:autoSpaceDN w:val="0"/>
              <w:adjustRightInd w:val="0"/>
              <w:spacing w:after="0" w:line="240" w:lineRule="auto"/>
              <w:rPr>
                <w:rFonts w:cs="Calibri"/>
                <w:sz w:val="20"/>
                <w:szCs w:val="20"/>
              </w:rPr>
            </w:pPr>
            <w:r>
              <w:rPr>
                <w:rFonts w:cs="Calibri"/>
                <w:sz w:val="20"/>
                <w:szCs w:val="20"/>
              </w:rPr>
              <w:t>A</w:t>
            </w:r>
            <w:r w:rsidR="0063705A" w:rsidRPr="001941B0">
              <w:rPr>
                <w:rFonts w:cs="Calibri"/>
                <w:sz w:val="20"/>
                <w:szCs w:val="20"/>
              </w:rPr>
              <w:t xml:space="preserve">rt. 1 oraz </w:t>
            </w:r>
            <w:r>
              <w:rPr>
                <w:rFonts w:cs="Calibri"/>
                <w:sz w:val="20"/>
                <w:szCs w:val="20"/>
              </w:rPr>
              <w:t>A</w:t>
            </w:r>
            <w:r w:rsidR="0063705A" w:rsidRPr="001941B0">
              <w:rPr>
                <w:rFonts w:cs="Calibri"/>
                <w:sz w:val="20"/>
                <w:szCs w:val="20"/>
              </w:rPr>
              <w:t>rt. 5 pkt 15</w:t>
            </w:r>
          </w:p>
        </w:tc>
        <w:tc>
          <w:tcPr>
            <w:tcW w:w="5652" w:type="dxa"/>
            <w:shd w:val="clear" w:color="auto" w:fill="FFFFFF" w:themeFill="background1"/>
          </w:tcPr>
          <w:p w14:paraId="331DBB09" w14:textId="35AE6365"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Rozważyć należy rozszerzenie katalogu dokumentów wystawianych przez asystenta medycznego, w imieniu lekarza, o opis konsultacji medycznej, o której mowa w przepisach wydanych na podstawie art. 30 ustawy z dnia 6 listopada 2008 r. o prawach pacjenta i Rzeczniku Praw Pacjenta.</w:t>
            </w:r>
          </w:p>
        </w:tc>
        <w:tc>
          <w:tcPr>
            <w:tcW w:w="2855" w:type="dxa"/>
            <w:shd w:val="clear" w:color="auto" w:fill="FFFFFF" w:themeFill="background1"/>
          </w:tcPr>
          <w:p w14:paraId="169D14A0" w14:textId="08E23961" w:rsidR="0063705A" w:rsidRPr="001941B0" w:rsidRDefault="0063705A" w:rsidP="006E0CB2">
            <w:pPr>
              <w:autoSpaceDE w:val="0"/>
              <w:autoSpaceDN w:val="0"/>
              <w:adjustRightInd w:val="0"/>
              <w:spacing w:after="0" w:line="240" w:lineRule="auto"/>
              <w:rPr>
                <w:sz w:val="20"/>
                <w:szCs w:val="20"/>
              </w:rPr>
            </w:pPr>
            <w:r w:rsidRPr="001941B0">
              <w:rPr>
                <w:sz w:val="20"/>
                <w:szCs w:val="20"/>
              </w:rPr>
              <w:t xml:space="preserve">Uwaga uwzględniona </w:t>
            </w:r>
          </w:p>
        </w:tc>
      </w:tr>
      <w:tr w:rsidR="00FC7212" w:rsidRPr="001941B0" w14:paraId="7555078B" w14:textId="77777777" w:rsidTr="7139DBB9">
        <w:tc>
          <w:tcPr>
            <w:tcW w:w="1125" w:type="dxa"/>
            <w:shd w:val="clear" w:color="auto" w:fill="FFFFFF" w:themeFill="background1"/>
          </w:tcPr>
          <w:p w14:paraId="0EC48C8B"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55061A7" w14:textId="2899AC0E"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radiologii i diagnostyki obrazowej</w:t>
            </w:r>
          </w:p>
        </w:tc>
        <w:tc>
          <w:tcPr>
            <w:tcW w:w="1949" w:type="dxa"/>
            <w:shd w:val="clear" w:color="auto" w:fill="FFFFFF" w:themeFill="background1"/>
          </w:tcPr>
          <w:p w14:paraId="17BEFD24" w14:textId="60B01E38"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Art.1 </w:t>
            </w:r>
          </w:p>
        </w:tc>
        <w:tc>
          <w:tcPr>
            <w:tcW w:w="5652" w:type="dxa"/>
            <w:shd w:val="clear" w:color="auto" w:fill="FFFFFF" w:themeFill="background1"/>
          </w:tcPr>
          <w:p w14:paraId="36FFFA8D"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Upoważnienia do EDM – ustawa o zawodach lekarza, art. 41a – upoważnienia przez Rejestr Asystentów Medycznych, do 12 miesięcy. </w:t>
            </w:r>
            <w:r w:rsidRPr="001941B0">
              <w:rPr>
                <w:sz w:val="20"/>
                <w:szCs w:val="20"/>
              </w:rPr>
              <w:t xml:space="preserve"> </w:t>
            </w:r>
            <w:r w:rsidRPr="001941B0">
              <w:rPr>
                <w:rFonts w:cs="Calibri"/>
                <w:sz w:val="20"/>
                <w:szCs w:val="20"/>
              </w:rPr>
              <w:t>Ryzyko błędów w EDM i obciążeń organizacyjnych (nadzór, cofanie upoważnień, odpowiedzialność).</w:t>
            </w:r>
          </w:p>
          <w:p w14:paraId="5B487668"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Propozycja: </w:t>
            </w:r>
            <w:r w:rsidRPr="001941B0">
              <w:rPr>
                <w:sz w:val="20"/>
                <w:szCs w:val="20"/>
              </w:rPr>
              <w:t xml:space="preserve"> </w:t>
            </w:r>
            <w:r w:rsidRPr="001941B0">
              <w:rPr>
                <w:rFonts w:cs="Calibri"/>
                <w:sz w:val="20"/>
                <w:szCs w:val="20"/>
              </w:rPr>
              <w:t>Doprecyzować w wytycznych: minimalny zakres kompetencji/szkoleń, model nadzoru lekarza, zasady cofania upoważnień i ścieżkę w systemie.</w:t>
            </w:r>
          </w:p>
          <w:p w14:paraId="15020DC5" w14:textId="0873F581"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Uzasadnienie: </w:t>
            </w:r>
            <w:r w:rsidRPr="001941B0">
              <w:rPr>
                <w:sz w:val="20"/>
                <w:szCs w:val="20"/>
              </w:rPr>
              <w:t xml:space="preserve"> </w:t>
            </w:r>
            <w:r w:rsidRPr="001941B0">
              <w:rPr>
                <w:rFonts w:cs="Calibri"/>
                <w:sz w:val="20"/>
                <w:szCs w:val="20"/>
              </w:rPr>
              <w:t>Ujednolica poziom bezpieczeństwa w kraju i ogranicza ryzyko incydentów wrażliwych danych medycznych. Nieprzekazywanie błędnych wyników AI pacjentowi, gdyż zostać przekazany pacjentowi, gdyz może to być mylące dla lekarza prowadzącego.</w:t>
            </w:r>
          </w:p>
        </w:tc>
        <w:tc>
          <w:tcPr>
            <w:tcW w:w="2855" w:type="dxa"/>
            <w:shd w:val="clear" w:color="auto" w:fill="FFFFFF" w:themeFill="background1"/>
          </w:tcPr>
          <w:p w14:paraId="09A4F284" w14:textId="6E395034" w:rsidR="00224D2D" w:rsidRPr="001941B0" w:rsidRDefault="00224D2D"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Uwaga nieuwzględniona</w:t>
            </w:r>
          </w:p>
          <w:p w14:paraId="17F873BE" w14:textId="2564A527" w:rsidR="00224D2D" w:rsidRPr="001941B0" w:rsidRDefault="001962C2"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w:t>
            </w:r>
            <w:r w:rsidR="00224D2D" w:rsidRPr="001941B0">
              <w:rPr>
                <w:rFonts w:eastAsiaTheme="minorEastAsia"/>
                <w:sz w:val="20"/>
                <w:szCs w:val="20"/>
              </w:rPr>
              <w:t xml:space="preserve">oza zakresem </w:t>
            </w:r>
            <w:r w:rsidR="000D7303" w:rsidRPr="001941B0">
              <w:rPr>
                <w:rFonts w:eastAsiaTheme="minorEastAsia"/>
                <w:sz w:val="20"/>
                <w:szCs w:val="20"/>
              </w:rPr>
              <w:t xml:space="preserve">projektowanej </w:t>
            </w:r>
            <w:r w:rsidR="00224D2D" w:rsidRPr="001941B0">
              <w:rPr>
                <w:rFonts w:eastAsiaTheme="minorEastAsia"/>
                <w:sz w:val="20"/>
                <w:szCs w:val="20"/>
              </w:rPr>
              <w:t>regulacji.</w:t>
            </w:r>
            <w:r w:rsidRPr="001941B0">
              <w:rPr>
                <w:rFonts w:eastAsiaTheme="minorEastAsia"/>
                <w:sz w:val="20"/>
                <w:szCs w:val="20"/>
              </w:rPr>
              <w:t xml:space="preserve"> </w:t>
            </w:r>
          </w:p>
          <w:p w14:paraId="0AD7012E" w14:textId="015341CF" w:rsidR="0063705A" w:rsidRPr="001941B0" w:rsidRDefault="0063705A" w:rsidP="006E0CB2">
            <w:pPr>
              <w:autoSpaceDE w:val="0"/>
              <w:autoSpaceDN w:val="0"/>
              <w:adjustRightInd w:val="0"/>
              <w:spacing w:after="0" w:line="240" w:lineRule="auto"/>
              <w:rPr>
                <w:sz w:val="20"/>
                <w:szCs w:val="20"/>
              </w:rPr>
            </w:pPr>
          </w:p>
        </w:tc>
      </w:tr>
      <w:tr w:rsidR="00FC7212" w:rsidRPr="001941B0" w14:paraId="1BC59704" w14:textId="77777777" w:rsidTr="7139DBB9">
        <w:tc>
          <w:tcPr>
            <w:tcW w:w="1125" w:type="dxa"/>
            <w:shd w:val="clear" w:color="auto" w:fill="FFFFFF" w:themeFill="background1"/>
          </w:tcPr>
          <w:p w14:paraId="5A0F446C"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96D2864" w14:textId="77777777" w:rsidR="00E352D6" w:rsidRPr="001941B0" w:rsidRDefault="00CD666D" w:rsidP="006E0CB2">
            <w:pPr>
              <w:autoSpaceDE w:val="0"/>
              <w:autoSpaceDN w:val="0"/>
              <w:adjustRightInd w:val="0"/>
              <w:spacing w:after="0" w:line="240" w:lineRule="auto"/>
              <w:rPr>
                <w:rFonts w:cs="Calibri"/>
                <w:bCs/>
                <w:sz w:val="20"/>
                <w:szCs w:val="20"/>
              </w:rPr>
            </w:pPr>
            <w:r w:rsidRPr="001941B0">
              <w:rPr>
                <w:rFonts w:cs="Calibri"/>
                <w:bCs/>
                <w:sz w:val="20"/>
                <w:szCs w:val="20"/>
              </w:rPr>
              <w:t>Lotnicze Pogotowie Ratunkowe</w:t>
            </w:r>
          </w:p>
          <w:p w14:paraId="2A0E165B" w14:textId="77777777" w:rsidR="00B15EE6" w:rsidRPr="001941B0" w:rsidRDefault="00B15EE6" w:rsidP="006E0CB2">
            <w:pPr>
              <w:autoSpaceDE w:val="0"/>
              <w:autoSpaceDN w:val="0"/>
              <w:adjustRightInd w:val="0"/>
              <w:spacing w:after="0" w:line="240" w:lineRule="auto"/>
              <w:rPr>
                <w:rFonts w:cs="Calibri"/>
                <w:bCs/>
                <w:sz w:val="20"/>
                <w:szCs w:val="20"/>
              </w:rPr>
            </w:pPr>
          </w:p>
          <w:p w14:paraId="16C0D6DA" w14:textId="24A2325E" w:rsidR="0063705A" w:rsidRPr="001941B0" w:rsidRDefault="00B15EE6" w:rsidP="006E0CB2">
            <w:pPr>
              <w:autoSpaceDE w:val="0"/>
              <w:autoSpaceDN w:val="0"/>
              <w:adjustRightInd w:val="0"/>
              <w:spacing w:after="0" w:line="240" w:lineRule="auto"/>
              <w:rPr>
                <w:rFonts w:cs="Calibri"/>
                <w:bCs/>
                <w:sz w:val="20"/>
                <w:szCs w:val="20"/>
              </w:rPr>
            </w:pPr>
            <w:r w:rsidRPr="001941B0">
              <w:rPr>
                <w:rFonts w:cs="Calibri"/>
                <w:bCs/>
                <w:sz w:val="20"/>
                <w:szCs w:val="20"/>
              </w:rPr>
              <w:t>(EDM)</w:t>
            </w:r>
          </w:p>
        </w:tc>
        <w:tc>
          <w:tcPr>
            <w:tcW w:w="1949" w:type="dxa"/>
            <w:shd w:val="clear" w:color="auto" w:fill="FFFFFF" w:themeFill="background1"/>
          </w:tcPr>
          <w:p w14:paraId="7EFF2715" w14:textId="32E34862" w:rsidR="0063705A" w:rsidRPr="001941B0" w:rsidRDefault="00074EE7" w:rsidP="006E0CB2">
            <w:pPr>
              <w:autoSpaceDE w:val="0"/>
              <w:autoSpaceDN w:val="0"/>
              <w:adjustRightInd w:val="0"/>
              <w:spacing w:after="0" w:line="240" w:lineRule="auto"/>
              <w:rPr>
                <w:rFonts w:cs="Calibri"/>
                <w:sz w:val="20"/>
                <w:szCs w:val="20"/>
              </w:rPr>
            </w:pPr>
            <w:r>
              <w:rPr>
                <w:rFonts w:cs="Calibri"/>
                <w:sz w:val="20"/>
                <w:szCs w:val="20"/>
              </w:rPr>
              <w:t>A</w:t>
            </w:r>
            <w:r w:rsidR="0039708B" w:rsidRPr="001941B0">
              <w:rPr>
                <w:rFonts w:cs="Calibri"/>
                <w:sz w:val="20"/>
                <w:szCs w:val="20"/>
              </w:rPr>
              <w:t>rt. 1</w:t>
            </w:r>
          </w:p>
        </w:tc>
        <w:tc>
          <w:tcPr>
            <w:tcW w:w="5652" w:type="dxa"/>
            <w:shd w:val="clear" w:color="auto" w:fill="FFFFFF" w:themeFill="background1"/>
          </w:tcPr>
          <w:p w14:paraId="37917448" w14:textId="77777777" w:rsidR="008D75CB" w:rsidRPr="001941B0" w:rsidRDefault="008D75CB"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Treść komentowanego przepisu</w:t>
            </w:r>
          </w:p>
          <w:p w14:paraId="264AAB03" w14:textId="77777777" w:rsidR="00D55352" w:rsidRPr="001941B0" w:rsidRDefault="00D55352" w:rsidP="006E0CB2">
            <w:pPr>
              <w:autoSpaceDE w:val="0"/>
              <w:autoSpaceDN w:val="0"/>
              <w:adjustRightInd w:val="0"/>
              <w:spacing w:after="0" w:line="240" w:lineRule="auto"/>
              <w:rPr>
                <w:rFonts w:cs="Calibri"/>
                <w:sz w:val="20"/>
                <w:szCs w:val="20"/>
              </w:rPr>
            </w:pPr>
            <w:r w:rsidRPr="001941B0">
              <w:rPr>
                <w:rFonts w:cs="Calibri"/>
                <w:sz w:val="20"/>
                <w:szCs w:val="20"/>
              </w:rPr>
              <w:t>Art. 1.</w:t>
            </w:r>
            <w:r w:rsidRPr="001941B0">
              <w:rPr>
                <w:rFonts w:cs="Calibri"/>
                <w:b/>
                <w:bCs/>
                <w:sz w:val="20"/>
                <w:szCs w:val="20"/>
              </w:rPr>
              <w:t xml:space="preserve"> </w:t>
            </w:r>
            <w:r w:rsidRPr="001941B0">
              <w:rPr>
                <w:rFonts w:cs="Calibri"/>
                <w:sz w:val="20"/>
                <w:szCs w:val="20"/>
              </w:rPr>
              <w:t>W ustawie z dnia 5 grudnia 1996 r. o zawodach lekarza i lekarza dentysty (Dz.U. z 2026 r. poz. 37) art. 41a otrzymuje brzmienie:</w:t>
            </w:r>
          </w:p>
          <w:p w14:paraId="198F4B6A" w14:textId="77777777" w:rsidR="00D55352" w:rsidRPr="001941B0" w:rsidRDefault="00D55352" w:rsidP="006E0CB2">
            <w:pPr>
              <w:autoSpaceDE w:val="0"/>
              <w:autoSpaceDN w:val="0"/>
              <w:adjustRightInd w:val="0"/>
              <w:spacing w:after="0" w:line="240" w:lineRule="auto"/>
              <w:rPr>
                <w:rFonts w:cs="Calibri"/>
                <w:sz w:val="20"/>
                <w:szCs w:val="20"/>
              </w:rPr>
            </w:pPr>
            <w:r w:rsidRPr="001941B0">
              <w:rPr>
                <w:rFonts w:cs="Calibri"/>
                <w:sz w:val="20"/>
                <w:szCs w:val="20"/>
              </w:rPr>
              <w:t>„Art. 41a. 1. Lekarz może udzielić upoważnienia do wystawiania elektronicznej dokumentacji medycznej, o której mowa w art. 2 pkt 6 lit. b ustawy z dnia 28 kwietnia</w:t>
            </w:r>
          </w:p>
          <w:p w14:paraId="294CD343" w14:textId="77777777" w:rsidR="00D55352" w:rsidRPr="001941B0" w:rsidRDefault="00D55352" w:rsidP="006E0CB2">
            <w:pPr>
              <w:autoSpaceDE w:val="0"/>
              <w:autoSpaceDN w:val="0"/>
              <w:adjustRightInd w:val="0"/>
              <w:spacing w:after="0" w:line="240" w:lineRule="auto"/>
              <w:rPr>
                <w:rFonts w:cs="Calibri"/>
                <w:sz w:val="20"/>
                <w:szCs w:val="20"/>
              </w:rPr>
            </w:pPr>
            <w:r w:rsidRPr="001941B0">
              <w:rPr>
                <w:rFonts w:cs="Calibri"/>
                <w:sz w:val="20"/>
                <w:szCs w:val="20"/>
              </w:rPr>
              <w:t>2011 r. o systemie informacji w ochronie zdrowia lub do dokonywania w niej wpisów, w jego imieniu osobie wykonującej:</w:t>
            </w:r>
          </w:p>
          <w:p w14:paraId="03517C32" w14:textId="77777777" w:rsidR="00D55352" w:rsidRPr="001941B0" w:rsidRDefault="00D55352" w:rsidP="006E0CB2">
            <w:pPr>
              <w:autoSpaceDE w:val="0"/>
              <w:autoSpaceDN w:val="0"/>
              <w:adjustRightInd w:val="0"/>
              <w:spacing w:after="0" w:line="240" w:lineRule="auto"/>
              <w:rPr>
                <w:rFonts w:cs="Calibri"/>
                <w:sz w:val="20"/>
                <w:szCs w:val="20"/>
              </w:rPr>
            </w:pPr>
            <w:r w:rsidRPr="001941B0">
              <w:rPr>
                <w:rFonts w:cs="Calibri"/>
                <w:sz w:val="20"/>
                <w:szCs w:val="20"/>
              </w:rPr>
              <w:t>1) zawód medyczny, o której mowa w art. 2 ust. 1 pkt 2 ustawy z dnia 15 kwietnia 2011 r. o działalności leczniczej;</w:t>
            </w:r>
          </w:p>
          <w:p w14:paraId="15302D47" w14:textId="77777777" w:rsidR="00CD666D" w:rsidRPr="001941B0" w:rsidRDefault="00D55352" w:rsidP="006E0CB2">
            <w:pPr>
              <w:autoSpaceDE w:val="0"/>
              <w:autoSpaceDN w:val="0"/>
              <w:adjustRightInd w:val="0"/>
              <w:spacing w:after="0" w:line="240" w:lineRule="auto"/>
              <w:rPr>
                <w:rFonts w:cs="Calibri"/>
                <w:sz w:val="20"/>
                <w:szCs w:val="20"/>
              </w:rPr>
            </w:pPr>
            <w:r w:rsidRPr="001941B0">
              <w:rPr>
                <w:rFonts w:cs="Calibri"/>
                <w:sz w:val="20"/>
                <w:szCs w:val="20"/>
              </w:rPr>
              <w:t xml:space="preserve">2) czynności pomocnicze przy udzielaniu świadczeń zdrowotnych, o której mowa w art. 24 ust. 2 pkt 2 ustawy </w:t>
            </w:r>
            <w:r w:rsidRPr="001941B0">
              <w:rPr>
                <w:rFonts w:cs="Calibri"/>
                <w:sz w:val="20"/>
                <w:szCs w:val="20"/>
              </w:rPr>
              <w:lastRenderedPageBreak/>
              <w:t>z dnia 6 listopada 2008 r. o prawach pacjenta i Rzeczniku Praw Pacjenta.</w:t>
            </w:r>
          </w:p>
          <w:p w14:paraId="1B19837F" w14:textId="77777777" w:rsidR="00D55352" w:rsidRPr="001941B0" w:rsidRDefault="00D55352" w:rsidP="006E0CB2">
            <w:pPr>
              <w:autoSpaceDE w:val="0"/>
              <w:autoSpaceDN w:val="0"/>
              <w:adjustRightInd w:val="0"/>
              <w:spacing w:after="0" w:line="240" w:lineRule="auto"/>
              <w:rPr>
                <w:rFonts w:eastAsiaTheme="minorEastAsia"/>
                <w:bCs/>
                <w:sz w:val="20"/>
                <w:szCs w:val="20"/>
              </w:rPr>
            </w:pPr>
            <w:r w:rsidRPr="001941B0">
              <w:rPr>
                <w:rFonts w:eastAsiaTheme="minorEastAsia"/>
                <w:b/>
                <w:bCs/>
                <w:sz w:val="20"/>
                <w:szCs w:val="20"/>
              </w:rPr>
              <w:t>Treść uwagi</w:t>
            </w:r>
          </w:p>
          <w:p w14:paraId="1D8B522F" w14:textId="1F43CF86" w:rsidR="0063705A" w:rsidRPr="001941B0" w:rsidRDefault="00A12853" w:rsidP="006E0CB2">
            <w:pPr>
              <w:autoSpaceDE w:val="0"/>
              <w:autoSpaceDN w:val="0"/>
              <w:adjustRightInd w:val="0"/>
              <w:spacing w:after="0" w:line="240" w:lineRule="auto"/>
              <w:rPr>
                <w:rFonts w:cs="Calibri"/>
                <w:sz w:val="20"/>
                <w:szCs w:val="20"/>
              </w:rPr>
            </w:pPr>
            <w:r w:rsidRPr="001941B0">
              <w:rPr>
                <w:rFonts w:cs="Calibri"/>
                <w:bCs/>
                <w:sz w:val="20"/>
                <w:szCs w:val="20"/>
              </w:rPr>
              <w:t>Należy określić, czy i jeśli tak, to w jaki sposób SWD PRM ma być zintegrowany z systemem zarządzania upoważnieniami, dodatkowo czy niepowstanie obowiązek umożliwienia delegowania zarządzania dokumentacją medyczną (np. w zakresie poprawy/edycji/sprawdzenia) do innych osób wykonujących zawód medyczny lub inne osoby wykonujące czynności pomocnicze przy udzielaniu świadczeń zdrowotnych w ramach systemu. Wątpliwość budzi fakt, iż nie zawsze musi to być osoba, która jest użytkownikiem SWD PRM.</w:t>
            </w:r>
          </w:p>
        </w:tc>
        <w:tc>
          <w:tcPr>
            <w:tcW w:w="2855" w:type="dxa"/>
            <w:shd w:val="clear" w:color="auto" w:fill="FFFFFF" w:themeFill="background1"/>
          </w:tcPr>
          <w:p w14:paraId="155660CE" w14:textId="75880BA5" w:rsidR="00CD666D" w:rsidRPr="001941B0" w:rsidRDefault="00F81869"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1811B9E6" w14:textId="24A0732E" w:rsidR="0063705A" w:rsidRPr="001941B0" w:rsidRDefault="0063705A" w:rsidP="2B10D77E">
            <w:pPr>
              <w:autoSpaceDE w:val="0"/>
              <w:autoSpaceDN w:val="0"/>
              <w:adjustRightInd w:val="0"/>
              <w:spacing w:after="0" w:line="240" w:lineRule="auto"/>
              <w:rPr>
                <w:b/>
                <w:bCs/>
                <w:sz w:val="20"/>
                <w:szCs w:val="20"/>
              </w:rPr>
            </w:pPr>
          </w:p>
          <w:p w14:paraId="585FF449" w14:textId="47747526" w:rsidR="0063705A" w:rsidRPr="001941B0" w:rsidRDefault="7DC5BA76" w:rsidP="15765373">
            <w:pPr>
              <w:autoSpaceDE w:val="0"/>
              <w:autoSpaceDN w:val="0"/>
              <w:adjustRightInd w:val="0"/>
              <w:spacing w:after="0" w:line="240" w:lineRule="auto"/>
              <w:rPr>
                <w:sz w:val="20"/>
                <w:szCs w:val="20"/>
              </w:rPr>
            </w:pPr>
            <w:r w:rsidRPr="001941B0">
              <w:rPr>
                <w:sz w:val="20"/>
                <w:szCs w:val="20"/>
              </w:rPr>
              <w:t xml:space="preserve">Kwestia integracji systemu SWD PRM </w:t>
            </w:r>
            <w:r w:rsidR="00432749" w:rsidRPr="001941B0">
              <w:rPr>
                <w:sz w:val="20"/>
                <w:szCs w:val="20"/>
              </w:rPr>
              <w:t>jest</w:t>
            </w:r>
            <w:r w:rsidR="000D7303" w:rsidRPr="001941B0">
              <w:rPr>
                <w:sz w:val="20"/>
                <w:szCs w:val="20"/>
              </w:rPr>
              <w:t xml:space="preserve"> </w:t>
            </w:r>
            <w:r w:rsidRPr="001941B0">
              <w:rPr>
                <w:sz w:val="20"/>
                <w:szCs w:val="20"/>
              </w:rPr>
              <w:t xml:space="preserve">poza zakresem </w:t>
            </w:r>
            <w:r w:rsidR="000D7303" w:rsidRPr="001941B0">
              <w:rPr>
                <w:sz w:val="20"/>
                <w:szCs w:val="20"/>
              </w:rPr>
              <w:t xml:space="preserve">projektowanej </w:t>
            </w:r>
            <w:r w:rsidRPr="001941B0">
              <w:rPr>
                <w:sz w:val="20"/>
                <w:szCs w:val="20"/>
              </w:rPr>
              <w:t xml:space="preserve">regulacji. </w:t>
            </w:r>
          </w:p>
          <w:p w14:paraId="63E305FA" w14:textId="4B15D549" w:rsidR="0063705A" w:rsidRPr="001941B0" w:rsidRDefault="0063705A" w:rsidP="15765373">
            <w:pPr>
              <w:autoSpaceDE w:val="0"/>
              <w:autoSpaceDN w:val="0"/>
              <w:adjustRightInd w:val="0"/>
              <w:spacing w:after="0" w:line="240" w:lineRule="auto"/>
              <w:rPr>
                <w:b/>
                <w:bCs/>
                <w:sz w:val="20"/>
                <w:szCs w:val="20"/>
              </w:rPr>
            </w:pPr>
          </w:p>
          <w:p w14:paraId="04DC8ACD" w14:textId="7B3A05B6" w:rsidR="0063705A" w:rsidRPr="001941B0" w:rsidRDefault="0063705A" w:rsidP="006E0CB2">
            <w:pPr>
              <w:autoSpaceDE w:val="0"/>
              <w:autoSpaceDN w:val="0"/>
              <w:adjustRightInd w:val="0"/>
              <w:spacing w:after="0" w:line="240" w:lineRule="auto"/>
              <w:rPr>
                <w:b/>
                <w:sz w:val="20"/>
                <w:szCs w:val="20"/>
              </w:rPr>
            </w:pPr>
          </w:p>
        </w:tc>
      </w:tr>
      <w:tr w:rsidR="00FC7212" w:rsidRPr="001941B0" w14:paraId="065A4892" w14:textId="77777777" w:rsidTr="7139DBB9">
        <w:tc>
          <w:tcPr>
            <w:tcW w:w="1125" w:type="dxa"/>
            <w:shd w:val="clear" w:color="auto" w:fill="FFFFFF" w:themeFill="background1"/>
          </w:tcPr>
          <w:p w14:paraId="05A465E9" w14:textId="77777777" w:rsidR="001D4E2C" w:rsidRPr="001941B0" w:rsidRDefault="001D4E2C"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EE6611B" w14:textId="05B1DB6B" w:rsidR="001D4E2C" w:rsidRPr="001941B0" w:rsidRDefault="001D4E2C" w:rsidP="006E0CB2">
            <w:pPr>
              <w:autoSpaceDE w:val="0"/>
              <w:autoSpaceDN w:val="0"/>
              <w:adjustRightInd w:val="0"/>
              <w:spacing w:after="0" w:line="240" w:lineRule="auto"/>
              <w:rPr>
                <w:rFonts w:cs="Calibri"/>
                <w:bCs/>
                <w:sz w:val="20"/>
                <w:szCs w:val="20"/>
              </w:rPr>
            </w:pPr>
            <w:r w:rsidRPr="001941B0">
              <w:t>Prezes Urzędu Ochrony Danych Osobowych</w:t>
            </w:r>
          </w:p>
        </w:tc>
        <w:tc>
          <w:tcPr>
            <w:tcW w:w="1949" w:type="dxa"/>
            <w:shd w:val="clear" w:color="auto" w:fill="FFFFFF" w:themeFill="background1"/>
          </w:tcPr>
          <w:p w14:paraId="37280AE5" w14:textId="03048E3E" w:rsidR="001D4E2C" w:rsidRPr="001941B0" w:rsidRDefault="00074EE7" w:rsidP="006E0CB2">
            <w:pPr>
              <w:autoSpaceDE w:val="0"/>
              <w:autoSpaceDN w:val="0"/>
              <w:adjustRightInd w:val="0"/>
              <w:spacing w:after="0" w:line="240" w:lineRule="auto"/>
              <w:rPr>
                <w:rFonts w:cs="Calibri"/>
                <w:sz w:val="20"/>
                <w:szCs w:val="20"/>
              </w:rPr>
            </w:pPr>
            <w:r>
              <w:rPr>
                <w:rFonts w:cs="Calibri"/>
                <w:bCs/>
                <w:sz w:val="20"/>
                <w:szCs w:val="20"/>
              </w:rPr>
              <w:t>A</w:t>
            </w:r>
            <w:r w:rsidR="003E25A8" w:rsidRPr="001941B0">
              <w:rPr>
                <w:rFonts w:cs="Calibri"/>
                <w:bCs/>
                <w:sz w:val="20"/>
                <w:szCs w:val="20"/>
              </w:rPr>
              <w:t>rt. 1</w:t>
            </w:r>
          </w:p>
        </w:tc>
        <w:tc>
          <w:tcPr>
            <w:tcW w:w="5652" w:type="dxa"/>
            <w:shd w:val="clear" w:color="auto" w:fill="FFFFFF" w:themeFill="background1"/>
          </w:tcPr>
          <w:p w14:paraId="7040B387" w14:textId="77777777" w:rsidR="003308E6" w:rsidRPr="001941B0" w:rsidRDefault="003308E6" w:rsidP="003308E6">
            <w:pPr>
              <w:autoSpaceDE w:val="0"/>
              <w:autoSpaceDN w:val="0"/>
              <w:adjustRightInd w:val="0"/>
              <w:spacing w:after="0" w:line="240" w:lineRule="auto"/>
              <w:rPr>
                <w:rFonts w:eastAsiaTheme="minorEastAsia"/>
                <w:sz w:val="20"/>
                <w:szCs w:val="20"/>
              </w:rPr>
            </w:pPr>
            <w:r w:rsidRPr="001941B0">
              <w:rPr>
                <w:rFonts w:eastAsiaTheme="minorEastAsia"/>
                <w:b/>
                <w:sz w:val="20"/>
                <w:szCs w:val="20"/>
              </w:rPr>
              <w:t>I.</w:t>
            </w:r>
            <w:r w:rsidRPr="001941B0">
              <w:rPr>
                <w:rFonts w:eastAsiaTheme="minorEastAsia"/>
                <w:sz w:val="20"/>
                <w:szCs w:val="20"/>
              </w:rPr>
              <w:t xml:space="preserve"> </w:t>
            </w:r>
            <w:r w:rsidRPr="001941B0">
              <w:rPr>
                <w:rFonts w:eastAsiaTheme="minorEastAsia"/>
                <w:b/>
                <w:sz w:val="20"/>
                <w:szCs w:val="20"/>
              </w:rPr>
              <w:t>Uwagi do zmian w</w:t>
            </w:r>
            <w:r w:rsidRPr="001941B0">
              <w:rPr>
                <w:rFonts w:eastAsiaTheme="minorEastAsia"/>
                <w:sz w:val="20"/>
                <w:szCs w:val="20"/>
              </w:rPr>
              <w:t xml:space="preserve"> </w:t>
            </w:r>
            <w:r w:rsidRPr="001941B0">
              <w:rPr>
                <w:rFonts w:eastAsiaTheme="minorEastAsia"/>
                <w:b/>
                <w:sz w:val="20"/>
                <w:szCs w:val="20"/>
              </w:rPr>
              <w:t>ustawie z dnia 5 grudnia 1996 r. o zawodach lekarza i lekarza dentysty.</w:t>
            </w:r>
          </w:p>
          <w:p w14:paraId="7D342C10" w14:textId="77777777" w:rsidR="003308E6" w:rsidRPr="001941B0" w:rsidRDefault="003308E6" w:rsidP="003308E6">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Zgodnie z </w:t>
            </w:r>
            <w:r w:rsidRPr="001941B0">
              <w:rPr>
                <w:rFonts w:eastAsiaTheme="minorEastAsia"/>
                <w:b/>
                <w:sz w:val="20"/>
                <w:szCs w:val="20"/>
              </w:rPr>
              <w:t xml:space="preserve">art. 1 </w:t>
            </w:r>
            <w:r w:rsidRPr="001941B0">
              <w:rPr>
                <w:rFonts w:eastAsiaTheme="minorEastAsia"/>
                <w:sz w:val="20"/>
                <w:szCs w:val="20"/>
              </w:rPr>
              <w:t xml:space="preserve">projektu ustawy, wprowadzającym zmiany w </w:t>
            </w:r>
            <w:r w:rsidRPr="001941B0">
              <w:rPr>
                <w:rFonts w:eastAsiaTheme="minorEastAsia"/>
                <w:b/>
                <w:sz w:val="20"/>
                <w:szCs w:val="20"/>
              </w:rPr>
              <w:t>art. 41a</w:t>
            </w:r>
            <w:r w:rsidRPr="001941B0">
              <w:rPr>
                <w:rFonts w:eastAsiaTheme="minorEastAsia"/>
                <w:sz w:val="20"/>
                <w:szCs w:val="20"/>
              </w:rPr>
              <w:t xml:space="preserve"> </w:t>
            </w:r>
            <w:r w:rsidRPr="001941B0">
              <w:rPr>
                <w:rFonts w:eastAsiaTheme="minorEastAsia"/>
                <w:b/>
                <w:sz w:val="20"/>
                <w:szCs w:val="20"/>
              </w:rPr>
              <w:t>ustawy z dnia 5 grudnia 1996 r. o zawodach lekarza i lekarza dentysty</w:t>
            </w:r>
            <w:r w:rsidRPr="001941B0">
              <w:rPr>
                <w:rFonts w:eastAsiaTheme="minorEastAsia"/>
                <w:sz w:val="20"/>
                <w:szCs w:val="20"/>
              </w:rPr>
              <w:t xml:space="preserve"> (Dz.U. z 2026 r. poz. 37) </w:t>
            </w:r>
            <w:r w:rsidRPr="001941B0">
              <w:rPr>
                <w:rFonts w:eastAsiaTheme="minorEastAsia"/>
                <w:b/>
                <w:sz w:val="20"/>
                <w:szCs w:val="20"/>
              </w:rPr>
              <w:t>ust. 1</w:t>
            </w:r>
            <w:r w:rsidRPr="001941B0">
              <w:rPr>
                <w:rFonts w:eastAsiaTheme="minorEastAsia"/>
                <w:sz w:val="20"/>
                <w:szCs w:val="20"/>
              </w:rPr>
              <w:t xml:space="preserve"> „</w:t>
            </w:r>
            <w:r w:rsidRPr="001941B0">
              <w:rPr>
                <w:rFonts w:eastAsiaTheme="minorEastAsia"/>
                <w:sz w:val="20"/>
                <w:szCs w:val="20"/>
                <w:u w:val="single"/>
              </w:rPr>
              <w:t>Lekarz może udzielić upoważnienia</w:t>
            </w:r>
            <w:r w:rsidRPr="001941B0">
              <w:rPr>
                <w:rFonts w:eastAsiaTheme="minorEastAsia"/>
                <w:sz w:val="20"/>
                <w:szCs w:val="20"/>
              </w:rPr>
              <w:t xml:space="preserve"> do wystawiania elektronicznej dokumentacji medycznej, o której mowa w art. 2 pkt 6 lit. b ustawy z dnia 28 kwietnia 2011 r. o systemie informacji w ochronie zdrowia lub do dokonywania w niej wpisów, w jego imieniu osobie wykonującej: (…)”; </w:t>
            </w:r>
            <w:r w:rsidRPr="001941B0">
              <w:rPr>
                <w:rFonts w:eastAsiaTheme="minorEastAsia"/>
                <w:b/>
                <w:sz w:val="20"/>
                <w:szCs w:val="20"/>
              </w:rPr>
              <w:t>ust. 2</w:t>
            </w:r>
            <w:r w:rsidRPr="001941B0">
              <w:rPr>
                <w:rFonts w:eastAsiaTheme="minorEastAsia"/>
                <w:sz w:val="20"/>
                <w:szCs w:val="20"/>
              </w:rPr>
              <w:t xml:space="preserve"> „Osoby upoważnione, o których mowa w ust. 1, mogą być dopuszczone do przetwarzania danych osobowych zawartych w elektronicznej dokumentacji medycznej, o której mowa w ust. 1, </w:t>
            </w:r>
            <w:r w:rsidRPr="001941B0">
              <w:rPr>
                <w:rFonts w:eastAsiaTheme="minorEastAsia"/>
                <w:sz w:val="20"/>
                <w:szCs w:val="20"/>
                <w:u w:val="single"/>
              </w:rPr>
              <w:t>po wydaniu im przez podmiot</w:t>
            </w:r>
            <w:r w:rsidRPr="001941B0">
              <w:rPr>
                <w:rFonts w:eastAsiaTheme="minorEastAsia"/>
                <w:sz w:val="20"/>
                <w:szCs w:val="20"/>
              </w:rPr>
              <w:t xml:space="preserve"> </w:t>
            </w:r>
            <w:r w:rsidRPr="001941B0">
              <w:rPr>
                <w:rFonts w:eastAsiaTheme="minorEastAsia"/>
                <w:sz w:val="20"/>
                <w:szCs w:val="20"/>
                <w:u w:val="single"/>
              </w:rPr>
              <w:t>wykonujący działalność leczniczą upoważnienia do przetwarzania danych osobowych</w:t>
            </w:r>
            <w:r w:rsidRPr="001941B0">
              <w:rPr>
                <w:rFonts w:eastAsiaTheme="minorEastAsia"/>
                <w:sz w:val="20"/>
                <w:szCs w:val="20"/>
              </w:rPr>
              <w:t xml:space="preserve">. Osoby te mogą być obecne przy udzielaniu świadczeń zdrowotnych oraz są obowiązane do zachowania poufności wszelkich informacji i danych uzyskanych w związku z realizacją czynności, o których mowa w ust. 1. Obowiązek zachowania poufności obowiązuje również po śmierci pacjenta.”; </w:t>
            </w:r>
            <w:r w:rsidRPr="001941B0">
              <w:rPr>
                <w:rFonts w:eastAsiaTheme="minorEastAsia"/>
                <w:b/>
                <w:sz w:val="20"/>
                <w:szCs w:val="20"/>
              </w:rPr>
              <w:t xml:space="preserve">ust. 4 </w:t>
            </w:r>
            <w:r w:rsidRPr="001941B0">
              <w:rPr>
                <w:rFonts w:eastAsiaTheme="minorEastAsia"/>
                <w:sz w:val="20"/>
                <w:szCs w:val="20"/>
              </w:rPr>
              <w:t xml:space="preserve">„Od dnia udzielenia upoważnienia, o którym mowa w ust. 1, do dnia jego cofnięcia albo wygaśnięcia </w:t>
            </w:r>
            <w:r w:rsidRPr="001941B0">
              <w:rPr>
                <w:rFonts w:eastAsiaTheme="minorEastAsia"/>
                <w:sz w:val="20"/>
                <w:szCs w:val="20"/>
                <w:u w:val="single"/>
              </w:rPr>
              <w:t>osoba upoważniona jest obowiązana do</w:t>
            </w:r>
            <w:r w:rsidRPr="001941B0">
              <w:rPr>
                <w:rFonts w:eastAsiaTheme="minorEastAsia"/>
                <w:sz w:val="20"/>
                <w:szCs w:val="20"/>
              </w:rPr>
              <w:t xml:space="preserve"> </w:t>
            </w:r>
            <w:r w:rsidRPr="001941B0">
              <w:rPr>
                <w:rFonts w:eastAsiaTheme="minorEastAsia"/>
                <w:sz w:val="20"/>
                <w:szCs w:val="20"/>
                <w:u w:val="single"/>
              </w:rPr>
              <w:t>zapewnienia zgodności danych zamieszczonych w elektronicznej dokumentacji</w:t>
            </w:r>
            <w:r w:rsidRPr="001941B0">
              <w:rPr>
                <w:rFonts w:eastAsiaTheme="minorEastAsia"/>
                <w:sz w:val="20"/>
                <w:szCs w:val="20"/>
              </w:rPr>
              <w:t xml:space="preserve"> </w:t>
            </w:r>
            <w:r w:rsidRPr="001941B0">
              <w:rPr>
                <w:rFonts w:eastAsiaTheme="minorEastAsia"/>
                <w:sz w:val="20"/>
                <w:szCs w:val="20"/>
                <w:u w:val="single"/>
              </w:rPr>
              <w:lastRenderedPageBreak/>
              <w:t>medycznej, o której mowa w ust. 1, z danymi zawartymi w dokumentacji medycznej</w:t>
            </w:r>
            <w:r w:rsidRPr="001941B0">
              <w:rPr>
                <w:rFonts w:eastAsiaTheme="minorEastAsia"/>
                <w:sz w:val="20"/>
                <w:szCs w:val="20"/>
              </w:rPr>
              <w:t xml:space="preserve">.”. </w:t>
            </w:r>
          </w:p>
          <w:p w14:paraId="558B62EA" w14:textId="77777777" w:rsidR="003308E6" w:rsidRPr="001941B0" w:rsidRDefault="003308E6" w:rsidP="003308E6">
            <w:pPr>
              <w:autoSpaceDE w:val="0"/>
              <w:autoSpaceDN w:val="0"/>
              <w:adjustRightInd w:val="0"/>
              <w:spacing w:after="0" w:line="240" w:lineRule="auto"/>
              <w:rPr>
                <w:rFonts w:eastAsiaTheme="minorEastAsia"/>
                <w:sz w:val="20"/>
                <w:szCs w:val="20"/>
              </w:rPr>
            </w:pPr>
            <w:r w:rsidRPr="001941B0">
              <w:rPr>
                <w:rFonts w:eastAsiaTheme="minorEastAsia"/>
                <w:sz w:val="20"/>
                <w:szCs w:val="20"/>
              </w:rPr>
              <w:t>Prezes UODO zwraca uwagę, że obowiązkiem każdego administratora jest zapewnienie, aby osoba fizyczna, która działa z upoważnienia administratora (oraz podmiotu przetwarzającego), mająca dostęp do danych osobowych, przetwarzała je wyłącznie na polecenie administratora, chyba że wymaga tego od niej prawo Unii lub prawo państwa członkowskiego (art. 32 ust. 4 rozporządzenia 2016/679). Jest to niezwykle ważny aspekt dotyczący zapewnienia przez administratora bezpieczeństwa przetwarzania danych osobowych, tj. określenia właściwego stopnia bezpieczeństwa przy uwzględnieniu ryzyka wiążącego się z przetwarzaniem, w szczególności wynikającego z przypadkowego lub niezgodnego z prawem zniszczenia, utraty, modyfikacji, nieuprawnionego ujawnienia lub nieuprawnionego dostępu do danych osobowych przesyłanych, przechowywanych lub w inny sposób przetwarzanych. Zaprezentowane rozwiązanie powiela częściowo dotychczas funkcjonujący w ustawie o zawodzie lekarza i lekarza dentysty model udzielenia upoważnień do dostępu do elektronicznej dokumentacji medycznej. Pojawia się natomiast pytanie na ile odpowiada on przewidzianej w art. 5 ust. 2 rozporządzenia 2016/679 zasadzie rozliczalności</w:t>
            </w:r>
            <w:r w:rsidRPr="001941B0">
              <w:rPr>
                <w:rFonts w:eastAsiaTheme="minorEastAsia"/>
                <w:sz w:val="20"/>
                <w:szCs w:val="20"/>
                <w:vertAlign w:val="superscript"/>
              </w:rPr>
              <w:footnoteReference w:id="11"/>
            </w:r>
            <w:r w:rsidRPr="001941B0">
              <w:rPr>
                <w:rFonts w:eastAsiaTheme="minorEastAsia"/>
                <w:sz w:val="20"/>
                <w:szCs w:val="20"/>
              </w:rPr>
              <w:t xml:space="preserve">. Należy zwrócić uwagę, że w omawianym przypadku w proces wydania upoważnienia zaangażowani są zarówno lekarz, jak i podmiot wykonujący działalność leczniczą, co może budzić wątpliwości co do prawidłowego podziału odpowiedzialności pomiędzy tymi podmiotami. W ocenie organu nadzorczego również dyspozycja art. 41a ust. 4, z punktu widzenia zasady prawidłowości </w:t>
            </w:r>
          </w:p>
          <w:p w14:paraId="1636D4FA" w14:textId="1678EEAD" w:rsidR="001D4E2C" w:rsidRPr="001941B0" w:rsidRDefault="003308E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(art. 5 ust. 1 lit. d rozporządzenia 2016/679)</w:t>
            </w:r>
            <w:r w:rsidRPr="001941B0">
              <w:rPr>
                <w:rFonts w:eastAsiaTheme="minorEastAsia"/>
                <w:sz w:val="20"/>
                <w:szCs w:val="20"/>
                <w:vertAlign w:val="superscript"/>
              </w:rPr>
              <w:footnoteReference w:id="12"/>
            </w:r>
            <w:r w:rsidRPr="001941B0">
              <w:rPr>
                <w:rFonts w:eastAsiaTheme="minorEastAsia"/>
                <w:sz w:val="20"/>
                <w:szCs w:val="20"/>
              </w:rPr>
              <w:t xml:space="preserve"> nie może wyłączać odpowiednio odpowiedzialności lekarza i podmiotu wykonującego działalność leczniczą za prawidłowość danych zawartych w elektronicznej dokumentacji medycznej. Taka konstrukcja wydawania upoważnień może prowadzić także do sytuacji, w której to lekarz nie będący administratorem będzie decydował o przetwarzaniu danych, których administratorem jest inny podmiot leczniczy w zakresie danych zawartych w dokumentacji medycznej. Powstaje więc pytanie o wzajemną relację tych upoważnień. Administrator odpowiada za dostęp do danych, tymczasem w tej sytuacji administrator pełni funkcję usługodawczą, bo udzielenie przez lekarza upoważnienia implikuje wydanie upoważnienia przez podmiot leczniczy. Dokonując oceny skutków dla ochrony danych projektodawca powinien więc przeanalizować model wydawania upoważnień do dostępu do elektronicznej dokumentacji medycznej, jak w prawidłowy sposób zabezpieczyć prawa podstawowe i interesy osoby, której dane dotyczą, precyzyjnie ustalić role podmiotów biorących udział w tym procesie oraz prawidłowo zabezpieczyć elektroniczną dokumentację medyczną przed niezgodnym z prawem dostępem. Jest to konieczne dla zapewnienia zgodności projektowanego przepisu z zasadami dotyczącymi przetwarzania danych osobowych: zgodności z prawem, rzetelności i przejrzystości, ograniczenia celu, minimalizacji danych oraz rozliczalności.</w:t>
            </w:r>
          </w:p>
        </w:tc>
        <w:tc>
          <w:tcPr>
            <w:tcW w:w="2855" w:type="dxa"/>
            <w:shd w:val="clear" w:color="auto" w:fill="FFFFFF" w:themeFill="background1"/>
          </w:tcPr>
          <w:p w14:paraId="58EAA692" w14:textId="77777777" w:rsidR="001D4E2C" w:rsidRPr="001941B0" w:rsidRDefault="009C0756"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27DBE658" w14:textId="794C05A0" w:rsidR="00FF37FF" w:rsidRPr="001941B0" w:rsidRDefault="00695896"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Rozliczalność jest zapewniona w analogicznym zakresie jak obecnie, tj. w dokumentach zapisywanych znajdują się zarówno informacje o lekarzu jak i </w:t>
            </w:r>
            <w:r w:rsidR="006E47DB" w:rsidRPr="001941B0">
              <w:rPr>
                <w:rFonts w:cstheme="minorHAnsi"/>
                <w:sz w:val="20"/>
                <w:szCs w:val="20"/>
              </w:rPr>
              <w:t>o</w:t>
            </w:r>
            <w:r w:rsidR="00455F25" w:rsidRPr="001941B0">
              <w:rPr>
                <w:rFonts w:cstheme="minorHAnsi"/>
                <w:sz w:val="20"/>
                <w:szCs w:val="20"/>
              </w:rPr>
              <w:t xml:space="preserve">sobie, </w:t>
            </w:r>
            <w:r w:rsidR="006E47DB" w:rsidRPr="001941B0">
              <w:rPr>
                <w:rFonts w:cstheme="minorHAnsi"/>
                <w:sz w:val="20"/>
                <w:szCs w:val="20"/>
              </w:rPr>
              <w:t>która</w:t>
            </w:r>
            <w:r w:rsidR="003A1BE9" w:rsidRPr="001941B0">
              <w:rPr>
                <w:rFonts w:cstheme="minorHAnsi"/>
                <w:sz w:val="20"/>
                <w:szCs w:val="20"/>
              </w:rPr>
              <w:t xml:space="preserve"> </w:t>
            </w:r>
            <w:r w:rsidRPr="001941B0">
              <w:rPr>
                <w:rFonts w:cstheme="minorHAnsi"/>
                <w:sz w:val="20"/>
                <w:szCs w:val="20"/>
              </w:rPr>
              <w:t xml:space="preserve">w jego imieniu wykonywała czynności. Ponadto w przypadku pobierania danych mamy </w:t>
            </w:r>
            <w:r w:rsidR="006E47DB" w:rsidRPr="001941B0">
              <w:rPr>
                <w:rFonts w:cstheme="minorHAnsi"/>
                <w:sz w:val="20"/>
                <w:szCs w:val="20"/>
              </w:rPr>
              <w:t>tożsamą sytuację</w:t>
            </w:r>
            <w:r w:rsidRPr="001941B0">
              <w:rPr>
                <w:rFonts w:cstheme="minorHAnsi"/>
                <w:sz w:val="20"/>
                <w:szCs w:val="20"/>
              </w:rPr>
              <w:t>. Niezależnie od powyższego asystent pracuj</w:t>
            </w:r>
            <w:r w:rsidR="009D1831" w:rsidRPr="001941B0">
              <w:rPr>
                <w:rFonts w:cstheme="minorHAnsi"/>
                <w:sz w:val="20"/>
                <w:szCs w:val="20"/>
              </w:rPr>
              <w:t>e</w:t>
            </w:r>
            <w:r w:rsidRPr="001941B0">
              <w:rPr>
                <w:rFonts w:cstheme="minorHAnsi"/>
                <w:sz w:val="20"/>
                <w:szCs w:val="20"/>
              </w:rPr>
              <w:t xml:space="preserve"> na zlecenie i pod nadzorem lekarza.</w:t>
            </w:r>
          </w:p>
          <w:p w14:paraId="50952FDE" w14:textId="11D3708E" w:rsidR="001D4E2C" w:rsidRPr="001941B0" w:rsidRDefault="001D4E2C" w:rsidP="006E0CB2">
            <w:pPr>
              <w:autoSpaceDE w:val="0"/>
              <w:autoSpaceDN w:val="0"/>
              <w:adjustRightInd w:val="0"/>
              <w:spacing w:after="0" w:line="240" w:lineRule="auto"/>
              <w:rPr>
                <w:rFonts w:cstheme="minorHAnsi"/>
                <w:sz w:val="20"/>
                <w:szCs w:val="20"/>
              </w:rPr>
            </w:pPr>
          </w:p>
        </w:tc>
      </w:tr>
      <w:tr w:rsidR="00952A06" w:rsidRPr="001941B0" w14:paraId="63EF13E2" w14:textId="77777777" w:rsidTr="00DE7BB4">
        <w:tc>
          <w:tcPr>
            <w:tcW w:w="14316" w:type="dxa"/>
            <w:gridSpan w:val="5"/>
            <w:shd w:val="clear" w:color="auto" w:fill="ADADAD" w:themeFill="background2" w:themeFillShade="BF"/>
          </w:tcPr>
          <w:p w14:paraId="2D63ACF6" w14:textId="24E6855A" w:rsidR="0063705A" w:rsidRPr="001941B0" w:rsidRDefault="0063705A" w:rsidP="006E0CB2">
            <w:pPr>
              <w:autoSpaceDE w:val="0"/>
              <w:autoSpaceDN w:val="0"/>
              <w:adjustRightInd w:val="0"/>
              <w:spacing w:after="0" w:line="240" w:lineRule="auto"/>
              <w:rPr>
                <w:b/>
                <w:sz w:val="20"/>
                <w:szCs w:val="20"/>
              </w:rPr>
            </w:pPr>
            <w:bookmarkStart w:id="3" w:name="ART_2"/>
            <w:r w:rsidRPr="001941B0">
              <w:rPr>
                <w:b/>
                <w:sz w:val="20"/>
                <w:szCs w:val="20"/>
              </w:rPr>
              <w:lastRenderedPageBreak/>
              <w:t>ART. 2</w:t>
            </w:r>
            <w:bookmarkEnd w:id="3"/>
          </w:p>
        </w:tc>
      </w:tr>
      <w:tr w:rsidR="00FC7212" w:rsidRPr="001941B0" w14:paraId="787C17F5" w14:textId="77777777" w:rsidTr="7139DBB9">
        <w:tc>
          <w:tcPr>
            <w:tcW w:w="1125" w:type="dxa"/>
            <w:shd w:val="clear" w:color="auto" w:fill="FFFFFF" w:themeFill="background1"/>
          </w:tcPr>
          <w:p w14:paraId="7F1E0859"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E333FF5" w14:textId="51FC7F9B" w:rsidR="0063705A" w:rsidRPr="001941B0" w:rsidRDefault="00423782" w:rsidP="006E0CB2">
            <w:pPr>
              <w:autoSpaceDE w:val="0"/>
              <w:autoSpaceDN w:val="0"/>
              <w:adjustRightInd w:val="0"/>
              <w:spacing w:after="0" w:line="240" w:lineRule="auto"/>
              <w:rPr>
                <w:rFonts w:cs="Calibri"/>
                <w:bCs/>
                <w:sz w:val="20"/>
                <w:szCs w:val="20"/>
              </w:rPr>
            </w:pPr>
            <w:r w:rsidRPr="001941B0">
              <w:rPr>
                <w:rFonts w:cs="Calibri"/>
                <w:bCs/>
                <w:sz w:val="20"/>
                <w:szCs w:val="20"/>
              </w:rPr>
              <w:t>Naczelna Izba Aptekarska</w:t>
            </w:r>
          </w:p>
        </w:tc>
        <w:tc>
          <w:tcPr>
            <w:tcW w:w="1949" w:type="dxa"/>
            <w:shd w:val="clear" w:color="auto" w:fill="FFFFFF" w:themeFill="background1"/>
          </w:tcPr>
          <w:p w14:paraId="4F297D22" w14:textId="305EB538" w:rsidR="0063705A" w:rsidRPr="001941B0" w:rsidRDefault="00F86FEA" w:rsidP="006E0CB2">
            <w:pPr>
              <w:autoSpaceDE w:val="0"/>
              <w:autoSpaceDN w:val="0"/>
              <w:adjustRightInd w:val="0"/>
              <w:spacing w:after="0" w:line="240" w:lineRule="auto"/>
              <w:rPr>
                <w:rFonts w:cs="Calibri"/>
                <w:sz w:val="20"/>
                <w:szCs w:val="20"/>
              </w:rPr>
            </w:pPr>
            <w:r>
              <w:rPr>
                <w:rFonts w:cs="Calibri"/>
                <w:sz w:val="20"/>
                <w:szCs w:val="20"/>
              </w:rPr>
              <w:t xml:space="preserve">Art. </w:t>
            </w:r>
            <w:r w:rsidR="00851608" w:rsidRPr="001941B0">
              <w:rPr>
                <w:rFonts w:cs="Calibri"/>
                <w:sz w:val="20"/>
                <w:szCs w:val="20"/>
              </w:rPr>
              <w:t>2</w:t>
            </w:r>
          </w:p>
        </w:tc>
        <w:tc>
          <w:tcPr>
            <w:tcW w:w="5652" w:type="dxa"/>
            <w:shd w:val="clear" w:color="auto" w:fill="FFFFFF" w:themeFill="background1"/>
          </w:tcPr>
          <w:p w14:paraId="67C2BC59" w14:textId="77777777" w:rsidR="00E77C65" w:rsidRPr="001941B0" w:rsidRDefault="00E77C65" w:rsidP="006E0CB2">
            <w:pPr>
              <w:autoSpaceDE w:val="0"/>
              <w:autoSpaceDN w:val="0"/>
              <w:adjustRightInd w:val="0"/>
              <w:spacing w:after="0" w:line="240" w:lineRule="auto"/>
              <w:rPr>
                <w:rFonts w:cs="Calibri"/>
                <w:sz w:val="20"/>
                <w:szCs w:val="20"/>
              </w:rPr>
            </w:pPr>
            <w:r w:rsidRPr="001941B0">
              <w:rPr>
                <w:rFonts w:cs="Calibri"/>
                <w:sz w:val="20"/>
                <w:szCs w:val="20"/>
              </w:rPr>
              <w:t xml:space="preserve">I. </w:t>
            </w:r>
          </w:p>
          <w:p w14:paraId="21C06F0C" w14:textId="28809437" w:rsidR="00851608" w:rsidRPr="001941B0" w:rsidRDefault="00851608" w:rsidP="006E0CB2">
            <w:pPr>
              <w:autoSpaceDE w:val="0"/>
              <w:autoSpaceDN w:val="0"/>
              <w:adjustRightInd w:val="0"/>
              <w:spacing w:after="0" w:line="240" w:lineRule="auto"/>
              <w:rPr>
                <w:rFonts w:cs="Calibri"/>
                <w:sz w:val="20"/>
                <w:szCs w:val="20"/>
              </w:rPr>
            </w:pPr>
            <w:r w:rsidRPr="001941B0">
              <w:rPr>
                <w:rFonts w:cs="Calibri"/>
                <w:sz w:val="20"/>
                <w:szCs w:val="20"/>
              </w:rPr>
              <w:t xml:space="preserve">Proponuje się </w:t>
            </w:r>
            <w:r w:rsidRPr="001941B0">
              <w:rPr>
                <w:rFonts w:cs="Calibri"/>
                <w:b/>
                <w:bCs/>
                <w:sz w:val="20"/>
                <w:szCs w:val="20"/>
              </w:rPr>
              <w:t>art. 2 projektu</w:t>
            </w:r>
            <w:r w:rsidRPr="001941B0">
              <w:rPr>
                <w:rFonts w:cs="Calibri"/>
                <w:sz w:val="20"/>
                <w:szCs w:val="20"/>
              </w:rPr>
              <w:t xml:space="preserve"> nadać następujące brzmienie:</w:t>
            </w:r>
          </w:p>
          <w:p w14:paraId="7C43EA6A" w14:textId="00BB0521" w:rsidR="00851608" w:rsidRPr="001941B0" w:rsidRDefault="00851608" w:rsidP="006E0CB2">
            <w:pPr>
              <w:autoSpaceDE w:val="0"/>
              <w:autoSpaceDN w:val="0"/>
              <w:adjustRightInd w:val="0"/>
              <w:spacing w:after="0" w:line="240" w:lineRule="auto"/>
              <w:rPr>
                <w:rFonts w:cs="Calibri"/>
                <w:sz w:val="20"/>
                <w:szCs w:val="20"/>
              </w:rPr>
            </w:pPr>
            <w:r w:rsidRPr="001941B0">
              <w:rPr>
                <w:rFonts w:cs="Calibri"/>
                <w:sz w:val="20"/>
                <w:szCs w:val="20"/>
              </w:rPr>
              <w:t>„Art. 2. W ustawie z dnia 6 września 2001 r. — Prawo farmaceutyczne (Dz. U. z 2025 r. poz. 750, 905, 924, 1416, 1537 i 1795) w art. 83 w ust. 2 pkt 3 otrzymuje brzmienie:</w:t>
            </w:r>
          </w:p>
          <w:p w14:paraId="495E5728" w14:textId="77777777" w:rsidR="0063705A" w:rsidRPr="001941B0" w:rsidRDefault="00851608" w:rsidP="006E0CB2">
            <w:pPr>
              <w:autoSpaceDE w:val="0"/>
              <w:autoSpaceDN w:val="0"/>
              <w:adjustRightInd w:val="0"/>
              <w:spacing w:after="0" w:line="240" w:lineRule="auto"/>
              <w:rPr>
                <w:rFonts w:cs="Calibri"/>
                <w:sz w:val="20"/>
                <w:szCs w:val="20"/>
              </w:rPr>
            </w:pPr>
            <w:r w:rsidRPr="001941B0">
              <w:rPr>
                <w:rFonts w:cs="Calibri"/>
                <w:sz w:val="20"/>
                <w:szCs w:val="20"/>
              </w:rPr>
              <w:lastRenderedPageBreak/>
              <w:t xml:space="preserve">„3) imię i nazwisko osoby odpowiedzialnej za prowadzenie hurtowni, </w:t>
            </w:r>
            <w:r w:rsidRPr="001941B0">
              <w:rPr>
                <w:rFonts w:cs="Calibri"/>
                <w:b/>
                <w:bCs/>
                <w:sz w:val="20"/>
                <w:szCs w:val="20"/>
              </w:rPr>
              <w:t xml:space="preserve">numer prawa </w:t>
            </w:r>
            <w:r w:rsidR="007D378E" w:rsidRPr="001941B0">
              <w:rPr>
                <w:rFonts w:cs="Calibri"/>
                <w:b/>
                <w:bCs/>
                <w:sz w:val="20"/>
                <w:szCs w:val="20"/>
              </w:rPr>
              <w:t>wy</w:t>
            </w:r>
            <w:r w:rsidRPr="001941B0">
              <w:rPr>
                <w:rFonts w:cs="Calibri"/>
                <w:b/>
                <w:bCs/>
                <w:sz w:val="20"/>
                <w:szCs w:val="20"/>
              </w:rPr>
              <w:t>konywania zawodu farmaceuty</w:t>
            </w:r>
            <w:r w:rsidRPr="001941B0">
              <w:rPr>
                <w:rFonts w:cs="Calibri"/>
                <w:sz w:val="20"/>
                <w:szCs w:val="20"/>
              </w:rPr>
              <w:t xml:space="preserve"> oraz jej identyfikator jako pracownika medycznego, o którym mowa w art. 17c ust. 5 ustawy z dnia 28 kwietnia 2011 r. o systemie informacji w ochronie zdrowia, a w przypadku osoby niebędącej pracownikiem medyc</w:t>
            </w:r>
            <w:r w:rsidR="007D378E" w:rsidRPr="001941B0">
              <w:rPr>
                <w:rFonts w:cs="Calibri"/>
                <w:sz w:val="20"/>
                <w:szCs w:val="20"/>
              </w:rPr>
              <w:t>zn</w:t>
            </w:r>
            <w:r w:rsidRPr="001941B0">
              <w:rPr>
                <w:rFonts w:cs="Calibri"/>
                <w:sz w:val="20"/>
                <w:szCs w:val="20"/>
              </w:rPr>
              <w:t>ym numer PESEL, a w przypadku jego braku — seria i numer paszportu albo innego dokumentu stwierdzającego tożsamość albo niepowtarzalny identyfikator nadany przez państwo członkowskie Unii Europejskiej dla celów transgranicznej identyfikacji, o którym mowa w rozporządzeniu wykonawczym Komisji (UE) 2015/1501</w:t>
            </w:r>
            <w:r w:rsidR="00E850A6" w:rsidRPr="001941B0">
              <w:rPr>
                <w:rFonts w:cs="Calibri"/>
                <w:sz w:val="20"/>
                <w:szCs w:val="20"/>
              </w:rPr>
              <w:t>”</w:t>
            </w:r>
            <w:r w:rsidRPr="001941B0">
              <w:rPr>
                <w:rFonts w:cs="Calibri"/>
                <w:sz w:val="20"/>
                <w:szCs w:val="20"/>
              </w:rPr>
              <w:t>.</w:t>
            </w:r>
            <w:r w:rsidR="00E850A6" w:rsidRPr="001941B0">
              <w:rPr>
                <w:rFonts w:cs="Calibri"/>
                <w:sz w:val="20"/>
                <w:szCs w:val="20"/>
              </w:rPr>
              <w:t>”</w:t>
            </w:r>
          </w:p>
          <w:p w14:paraId="6F68D58F" w14:textId="77777777" w:rsidR="00340CD0" w:rsidRPr="001941B0" w:rsidRDefault="00340CD0" w:rsidP="006E0CB2">
            <w:pPr>
              <w:autoSpaceDE w:val="0"/>
              <w:autoSpaceDN w:val="0"/>
              <w:adjustRightInd w:val="0"/>
              <w:spacing w:after="0" w:line="240" w:lineRule="auto"/>
              <w:rPr>
                <w:rFonts w:cs="Calibri"/>
                <w:b/>
                <w:bCs/>
                <w:sz w:val="20"/>
                <w:szCs w:val="20"/>
              </w:rPr>
            </w:pPr>
            <w:r w:rsidRPr="001941B0">
              <w:rPr>
                <w:rFonts w:cs="Calibri"/>
                <w:b/>
                <w:bCs/>
                <w:sz w:val="20"/>
                <w:szCs w:val="20"/>
              </w:rPr>
              <w:t>Uzasadnienie do pkt I i pkt II - Ujawnianie danych Osoby Odpowiedzialnej w Rejestrze Hurtowni Farmaceutycznych (RHF) w rejestrze dostępnym publicznie.</w:t>
            </w:r>
          </w:p>
          <w:p w14:paraId="23D5C7F6" w14:textId="5F719CCA" w:rsidR="00340CD0"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t>Projekt przewiduje obowiązek wskazywania danych Osoby Odpowiedzialnej we wniosku o wydanie zezwolenia na prowadzenie hurtowni farmaceutycznej. Nie jest jednak doprecyzowane, czy dane zawarte w Rejestrze Hurtowni Fa</w:t>
            </w:r>
            <w:r w:rsidR="00E54239" w:rsidRPr="001941B0">
              <w:rPr>
                <w:rFonts w:cs="Calibri"/>
                <w:sz w:val="20"/>
                <w:szCs w:val="20"/>
              </w:rPr>
              <w:t>rma</w:t>
            </w:r>
            <w:r w:rsidRPr="001941B0">
              <w:rPr>
                <w:rFonts w:cs="Calibri"/>
                <w:sz w:val="20"/>
                <w:szCs w:val="20"/>
              </w:rPr>
              <w:t>ceutycznych, o którym mowa w art. 83 ust. 1</w:t>
            </w:r>
            <w:r w:rsidR="00E54239" w:rsidRPr="001941B0">
              <w:rPr>
                <w:rFonts w:cs="Calibri"/>
                <w:sz w:val="20"/>
                <w:szCs w:val="20"/>
              </w:rPr>
              <w:t>-</w:t>
            </w:r>
            <w:r w:rsidRPr="001941B0">
              <w:rPr>
                <w:rFonts w:cs="Calibri"/>
                <w:sz w:val="20"/>
                <w:szCs w:val="20"/>
              </w:rPr>
              <w:t xml:space="preserve">5 ustawy </w:t>
            </w:r>
            <w:r w:rsidR="00E54239" w:rsidRPr="001941B0">
              <w:rPr>
                <w:rFonts w:cs="Calibri"/>
                <w:sz w:val="20"/>
                <w:szCs w:val="20"/>
              </w:rPr>
              <w:t>-</w:t>
            </w:r>
            <w:r w:rsidRPr="001941B0">
              <w:rPr>
                <w:rFonts w:cs="Calibri"/>
                <w:sz w:val="20"/>
                <w:szCs w:val="20"/>
              </w:rPr>
              <w:t xml:space="preserve"> Prawo farmaceutyczne, będą dostępne publicznie.</w:t>
            </w:r>
          </w:p>
          <w:p w14:paraId="5B64E954" w14:textId="77777777" w:rsidR="00340CD0"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t>W ocenie Naczelnej Rady Aptekarskiej dane Osoby Odpowiedzialnej wraz z numerem prawa wykonywania zawodu farmaceuty (PWZF) powinny być ujawniane w Rejestrze Hurtowni Farmaceutycznych w sposób analogiczny do danych kierowników aptek w Rejestrze Aptek. Ujawnienie tych informacji umożliwiłoby weryfikację przypisania personelu fachowego do danego podmiotu oraz kontrolę ewentualnych kolizji wynikających z pełnienia funkcji w kilku placówkach jednocześnie. Brak takich danych powoduje nieuzasadnioną dysproporcję wobec aptek i hurtowni farmaceutycznych.</w:t>
            </w:r>
          </w:p>
          <w:p w14:paraId="495827DD" w14:textId="0F541D45" w:rsidR="00340CD0"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t>W związku z powyższym, Naczelna Rada Aptekarska wnosi o stworzenie ram prawnych, tak, aby w Rejestrze Hurtowni Farmaceutyc</w:t>
            </w:r>
            <w:r w:rsidR="00045F56" w:rsidRPr="001941B0">
              <w:rPr>
                <w:rFonts w:cs="Calibri"/>
                <w:sz w:val="20"/>
                <w:szCs w:val="20"/>
              </w:rPr>
              <w:t>zn</w:t>
            </w:r>
            <w:r w:rsidRPr="001941B0">
              <w:rPr>
                <w:rFonts w:cs="Calibri"/>
                <w:sz w:val="20"/>
                <w:szCs w:val="20"/>
              </w:rPr>
              <w:t>ych ujawniane były dane Osoby Odpowiedzialnej, w szczególności: imię, nazwisko oraz numer prawa wykonywania zawodu farmaceuty (PWZF).</w:t>
            </w:r>
          </w:p>
          <w:p w14:paraId="55FE15C9" w14:textId="77777777" w:rsidR="00340CD0"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lastRenderedPageBreak/>
              <w:t>Osoba Odpowiedzialna pełni kluczową funkcję w hurtowni farmaceutycznej, odpowiadając za prawidłowe wykonywanie czynności w obszarze obrotu hurtowego produktami leczniczymi. Dostępność danych Osoby Odpowiedzialnej wraz z numerem PWZF pozwoli na identyfikację potencjalnych kolizji wynikających z równoległego pełnienia funkcji w więcej niż jednym podmiocie, co ma znaczenie z punktu widzenia jakości nadzoru i realności sprawowania odpowiedzialności zawodowej.</w:t>
            </w:r>
          </w:p>
          <w:p w14:paraId="0F96AB52" w14:textId="52DED0E2" w:rsidR="00340CD0"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t>Brak analogicznej transparentności po stronie hurtowni farmaceutyc</w:t>
            </w:r>
            <w:r w:rsidR="00853BD4" w:rsidRPr="001941B0">
              <w:rPr>
                <w:rFonts w:cs="Calibri"/>
                <w:sz w:val="20"/>
                <w:szCs w:val="20"/>
              </w:rPr>
              <w:t>zn</w:t>
            </w:r>
            <w:r w:rsidRPr="001941B0">
              <w:rPr>
                <w:rFonts w:cs="Calibri"/>
                <w:sz w:val="20"/>
                <w:szCs w:val="20"/>
              </w:rPr>
              <w:t>ych powoduje nieuzasadnioną dysproporcję w regulacjach prawnych i obowiązujących zasad wobec aptek i hurtowni, mimo że oba typy podmiotów uczestniczą w łańcuchu dystrybucji produktów leczniczych i powinny podlegać porównywalnym standardom jawności w zakresie osób pełniących funkcje fachowe.</w:t>
            </w:r>
          </w:p>
          <w:p w14:paraId="53B9B2B8" w14:textId="4CAE2456" w:rsidR="00340CD0"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t>W praktyce obserwowane są przypadki, w których rejestr RHF nie zawiera danych Osoby Odpowiedzialnej, zwłaszcza gdy podmiotem prowadzącym hurtownię jest spółka. Tymczasem zdecydowana większość hurtowni farmaceutycznych jest prowadzona właśnie w tej formie.</w:t>
            </w:r>
            <w:r w:rsidR="00482462" w:rsidRPr="001941B0">
              <w:rPr>
                <w:rFonts w:cs="Calibri"/>
                <w:sz w:val="20"/>
                <w:szCs w:val="20"/>
              </w:rPr>
              <w:t xml:space="preserve"> </w:t>
            </w:r>
            <w:r w:rsidRPr="001941B0">
              <w:rPr>
                <w:rFonts w:cs="Calibri"/>
                <w:sz w:val="20"/>
                <w:szCs w:val="20"/>
              </w:rPr>
              <w:t>Utrzymywanie takiej praktyki utrudnia nadzór publiczny i zawodowy, a także ogranicza możliwość weryfikacji w sposób prosty i szybki.</w:t>
            </w:r>
          </w:p>
          <w:p w14:paraId="160A138A" w14:textId="77777777" w:rsidR="00340CD0"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t>Jednocześnie Naczelna Rada Aptekarska wskazuje na zasadność ujednolicenia zakresu danych przewidzianych w art. 83 ust. 2 pkt 3 ustawy — Prawo farmaceutyczne, w brzmieniu zaproponowanym w niniejszym piśmie, z zakresem danych określonych w art. 75 ust. 1 pkt 7 ustawy — Prawo farmaceutyczne.</w:t>
            </w:r>
          </w:p>
          <w:p w14:paraId="05B2671C" w14:textId="5E4FE533" w:rsidR="00E77C65" w:rsidRPr="001941B0" w:rsidRDefault="00340CD0" w:rsidP="006E0CB2">
            <w:pPr>
              <w:autoSpaceDE w:val="0"/>
              <w:autoSpaceDN w:val="0"/>
              <w:adjustRightInd w:val="0"/>
              <w:spacing w:after="0" w:line="240" w:lineRule="auto"/>
              <w:rPr>
                <w:rFonts w:cs="Calibri"/>
                <w:sz w:val="20"/>
                <w:szCs w:val="20"/>
              </w:rPr>
            </w:pPr>
            <w:r w:rsidRPr="001941B0">
              <w:rPr>
                <w:rFonts w:cs="Calibri"/>
                <w:sz w:val="20"/>
                <w:szCs w:val="20"/>
              </w:rPr>
              <w:t xml:space="preserve">Należy wskazać, że Naczelna Rada Aptekarska zgłaszała analogiczne uwagi w toku opiniowania projektu rozporządzenia Ministra Zdrowia zmieniającego rozporządzenie w sprawie wzoru wniosku o wydanie zezwolenia na prowadzenie hurtowni farmaceutycznej (nr w wykazie prac: MZ1784; pismo NIA L.dz. P-181/2025 z 1 sierpnia 2025 r.). Uwagi te nie zostały uwzględnione z przyczyn legislacyjnych (formalnych), bez kwestionowania ich </w:t>
            </w:r>
            <w:r w:rsidRPr="001941B0">
              <w:rPr>
                <w:rFonts w:cs="Calibri"/>
                <w:sz w:val="20"/>
                <w:szCs w:val="20"/>
              </w:rPr>
              <w:lastRenderedPageBreak/>
              <w:t>zasadności merytorycznej. W konsekwencji zasadne jest rozstrzygnięcie zagadnienia na poziomie ustawowym w ramach przedmiotowego projektu.</w:t>
            </w:r>
          </w:p>
        </w:tc>
        <w:tc>
          <w:tcPr>
            <w:tcW w:w="2855" w:type="dxa"/>
            <w:shd w:val="clear" w:color="auto" w:fill="FFFFFF" w:themeFill="background1"/>
          </w:tcPr>
          <w:p w14:paraId="735F68E7" w14:textId="22D6E70B" w:rsidR="0038758D" w:rsidRPr="001941B0" w:rsidRDefault="0038758D" w:rsidP="608223C3">
            <w:pPr>
              <w:spacing w:after="0" w:line="240" w:lineRule="auto"/>
              <w:rPr>
                <w:rFonts w:ascii="Aptos" w:eastAsia="Aptos" w:hAnsi="Aptos" w:cs="Aptos"/>
                <w:b/>
                <w:bCs/>
                <w:sz w:val="20"/>
                <w:szCs w:val="20"/>
                <w:lang w:val="pl"/>
              </w:rPr>
            </w:pPr>
            <w:r w:rsidRPr="001941B0">
              <w:rPr>
                <w:rFonts w:ascii="Aptos" w:eastAsia="Aptos" w:hAnsi="Aptos" w:cs="Aptos"/>
                <w:b/>
                <w:bCs/>
                <w:sz w:val="20"/>
                <w:szCs w:val="20"/>
                <w:lang w:val="pl"/>
              </w:rPr>
              <w:lastRenderedPageBreak/>
              <w:t>Uwaga nieuwzględniona</w:t>
            </w:r>
          </w:p>
          <w:p w14:paraId="282A43E9" w14:textId="4BF8E7DC" w:rsidR="0063705A" w:rsidRPr="001941B0" w:rsidRDefault="00524A5E" w:rsidP="608223C3">
            <w:pPr>
              <w:spacing w:after="0" w:line="240" w:lineRule="auto"/>
              <w:rPr>
                <w:sz w:val="20"/>
                <w:szCs w:val="20"/>
              </w:rPr>
            </w:pPr>
            <w:r w:rsidRPr="001941B0">
              <w:rPr>
                <w:rFonts w:ascii="Aptos" w:eastAsia="Aptos" w:hAnsi="Aptos" w:cs="Aptos"/>
                <w:sz w:val="20"/>
                <w:szCs w:val="20"/>
                <w:lang w:val="pl"/>
              </w:rPr>
              <w:t>Uwaga poza zakresem projektowanej regulacji</w:t>
            </w:r>
            <w:r w:rsidR="0038758D" w:rsidRPr="001941B0">
              <w:rPr>
                <w:rFonts w:ascii="Aptos" w:eastAsia="Aptos" w:hAnsi="Aptos" w:cs="Aptos"/>
                <w:sz w:val="20"/>
                <w:szCs w:val="20"/>
                <w:lang w:val="pl"/>
              </w:rPr>
              <w:t>.</w:t>
            </w:r>
          </w:p>
        </w:tc>
      </w:tr>
      <w:tr w:rsidR="00FC7212" w:rsidRPr="001941B0" w14:paraId="46409AA0" w14:textId="77777777" w:rsidTr="7139DBB9">
        <w:tc>
          <w:tcPr>
            <w:tcW w:w="1125" w:type="dxa"/>
            <w:shd w:val="clear" w:color="auto" w:fill="FFFFFF" w:themeFill="background1"/>
          </w:tcPr>
          <w:p w14:paraId="48723FAF" w14:textId="77777777" w:rsidR="00686D3B" w:rsidRPr="001941B0" w:rsidRDefault="00686D3B"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201FA75" w14:textId="08EBB4F2" w:rsidR="00686D3B" w:rsidRPr="001941B0" w:rsidRDefault="00686D3B" w:rsidP="006E0CB2">
            <w:pPr>
              <w:autoSpaceDE w:val="0"/>
              <w:autoSpaceDN w:val="0"/>
              <w:adjustRightInd w:val="0"/>
              <w:spacing w:after="0" w:line="240" w:lineRule="auto"/>
              <w:rPr>
                <w:rFonts w:cs="Calibri"/>
                <w:bCs/>
                <w:sz w:val="20"/>
                <w:szCs w:val="20"/>
              </w:rPr>
            </w:pPr>
            <w:r w:rsidRPr="001941B0">
              <w:t>Prezes Urzędu Ochrony Danych Osobowych</w:t>
            </w:r>
          </w:p>
        </w:tc>
        <w:tc>
          <w:tcPr>
            <w:tcW w:w="1949" w:type="dxa"/>
            <w:shd w:val="clear" w:color="auto" w:fill="FFFFFF" w:themeFill="background1"/>
          </w:tcPr>
          <w:p w14:paraId="00F24B33" w14:textId="0A193E75" w:rsidR="00686D3B" w:rsidRPr="001941B0" w:rsidRDefault="00F86FEA" w:rsidP="006E0CB2">
            <w:pPr>
              <w:autoSpaceDE w:val="0"/>
              <w:autoSpaceDN w:val="0"/>
              <w:adjustRightInd w:val="0"/>
              <w:spacing w:after="0" w:line="240" w:lineRule="auto"/>
              <w:rPr>
                <w:rFonts w:cs="Calibri"/>
                <w:sz w:val="20"/>
                <w:szCs w:val="20"/>
              </w:rPr>
            </w:pPr>
            <w:r>
              <w:rPr>
                <w:rFonts w:cs="Calibri"/>
                <w:sz w:val="20"/>
                <w:szCs w:val="20"/>
              </w:rPr>
              <w:t>A</w:t>
            </w:r>
            <w:r w:rsidR="00ED6251" w:rsidRPr="001941B0">
              <w:rPr>
                <w:rFonts w:cs="Calibri"/>
                <w:sz w:val="20"/>
                <w:szCs w:val="20"/>
              </w:rPr>
              <w:t>rt. 2</w:t>
            </w:r>
          </w:p>
        </w:tc>
        <w:tc>
          <w:tcPr>
            <w:tcW w:w="5652" w:type="dxa"/>
            <w:shd w:val="clear" w:color="auto" w:fill="FFFFFF" w:themeFill="background1"/>
          </w:tcPr>
          <w:p w14:paraId="59E48299" w14:textId="77777777" w:rsidR="007D3FBC" w:rsidRPr="001941B0" w:rsidRDefault="007D3FBC" w:rsidP="007D3FBC">
            <w:pPr>
              <w:autoSpaceDE w:val="0"/>
              <w:autoSpaceDN w:val="0"/>
              <w:adjustRightInd w:val="0"/>
              <w:spacing w:after="0" w:line="240" w:lineRule="auto"/>
              <w:rPr>
                <w:rFonts w:cs="Calibri"/>
                <w:sz w:val="20"/>
                <w:szCs w:val="20"/>
              </w:rPr>
            </w:pPr>
            <w:r w:rsidRPr="001941B0">
              <w:rPr>
                <w:rFonts w:cs="Calibri"/>
                <w:b/>
                <w:sz w:val="20"/>
                <w:szCs w:val="20"/>
              </w:rPr>
              <w:t>II.</w:t>
            </w:r>
            <w:r w:rsidRPr="001941B0">
              <w:rPr>
                <w:rFonts w:cs="Calibri"/>
                <w:sz w:val="20"/>
                <w:szCs w:val="20"/>
              </w:rPr>
              <w:t xml:space="preserve"> </w:t>
            </w:r>
            <w:r w:rsidRPr="001941B0">
              <w:rPr>
                <w:rFonts w:cs="Calibri"/>
                <w:b/>
                <w:sz w:val="20"/>
                <w:szCs w:val="20"/>
              </w:rPr>
              <w:t>Uwagi do zmian w ustawie z dnia 6 września 2001 r. – Prawo farmaceutyczne.</w:t>
            </w:r>
            <w:r w:rsidRPr="001941B0">
              <w:rPr>
                <w:rFonts w:cs="Calibri"/>
                <w:sz w:val="20"/>
                <w:szCs w:val="20"/>
              </w:rPr>
              <w:t xml:space="preserve"> </w:t>
            </w:r>
          </w:p>
          <w:p w14:paraId="2E731EF2" w14:textId="77777777" w:rsidR="007D3FBC" w:rsidRPr="001941B0" w:rsidRDefault="007D3FBC" w:rsidP="007D3FBC">
            <w:pPr>
              <w:autoSpaceDE w:val="0"/>
              <w:autoSpaceDN w:val="0"/>
              <w:adjustRightInd w:val="0"/>
              <w:spacing w:after="0" w:line="240" w:lineRule="auto"/>
              <w:rPr>
                <w:rFonts w:cs="Calibri"/>
                <w:sz w:val="20"/>
                <w:szCs w:val="20"/>
              </w:rPr>
            </w:pPr>
            <w:r w:rsidRPr="001941B0">
              <w:rPr>
                <w:rFonts w:cs="Calibri"/>
                <w:sz w:val="20"/>
                <w:szCs w:val="20"/>
              </w:rPr>
              <w:t xml:space="preserve">Zgodnie z </w:t>
            </w:r>
            <w:r w:rsidRPr="001941B0">
              <w:rPr>
                <w:rFonts w:cs="Calibri"/>
                <w:b/>
                <w:sz w:val="20"/>
                <w:szCs w:val="20"/>
              </w:rPr>
              <w:t xml:space="preserve">art. 2 </w:t>
            </w:r>
            <w:r w:rsidRPr="001941B0">
              <w:rPr>
                <w:rFonts w:cs="Calibri"/>
                <w:sz w:val="20"/>
                <w:szCs w:val="20"/>
              </w:rPr>
              <w:t xml:space="preserve">projektu ustawy, wprowadzającym zmiany w </w:t>
            </w:r>
            <w:r w:rsidRPr="001941B0">
              <w:rPr>
                <w:rFonts w:cs="Calibri"/>
                <w:b/>
                <w:sz w:val="20"/>
                <w:szCs w:val="20"/>
              </w:rPr>
              <w:t>art. 83 ust. 2 pkt 3</w:t>
            </w:r>
            <w:r w:rsidRPr="001941B0">
              <w:rPr>
                <w:rFonts w:cs="Calibri"/>
                <w:sz w:val="20"/>
                <w:szCs w:val="20"/>
              </w:rPr>
              <w:t xml:space="preserve"> </w:t>
            </w:r>
            <w:r w:rsidRPr="001941B0">
              <w:rPr>
                <w:rFonts w:cs="Calibri"/>
                <w:b/>
                <w:sz w:val="20"/>
                <w:szCs w:val="20"/>
              </w:rPr>
              <w:t>ustawy z dnia 6 września 2001 r. – Prawo farmaceutyczne</w:t>
            </w:r>
            <w:r w:rsidRPr="001941B0">
              <w:rPr>
                <w:rFonts w:cs="Calibri"/>
                <w:sz w:val="20"/>
                <w:szCs w:val="20"/>
              </w:rPr>
              <w:t xml:space="preserve"> (Dz. U. z 2025 r. poz. 750 ze zm.) „Rejestry, o których mowa w ust. 1 i 1a, są prowadzone w systemie teleinformatycznym i zawierają: (…) imię i nazwisko osoby odpowiedzialnej za prowadzenie hurtowni oraz jej identyfikator jako pracownika medycznego, o którym mowa w art. 17c ust. 5 ustawy z dnia 28 kwietnia 2011 r. o systemie informacji w ochronie zdrowia, a w przypadku osoby niebędącej pracownikiem medycznym numer PESEL, a w przypadku jego braku – seria i numer paszportu albo innego dokumentu stwierdzającego tożsamość albo niepowtarzalny identyfikator nadany przez państwo członkowskie Unii Europejskiej dla celów transgranicznej identyfikacji, o którym mowa w rozporządzeniu wykonawczym Komisji (UE) 2015/1501.”. </w:t>
            </w:r>
          </w:p>
          <w:p w14:paraId="1176EAF4" w14:textId="77777777" w:rsidR="007D3FBC" w:rsidRPr="001941B0" w:rsidRDefault="007D3FBC" w:rsidP="007D3FBC">
            <w:pPr>
              <w:autoSpaceDE w:val="0"/>
              <w:autoSpaceDN w:val="0"/>
              <w:adjustRightInd w:val="0"/>
              <w:spacing w:after="0" w:line="240" w:lineRule="auto"/>
              <w:rPr>
                <w:rFonts w:cs="Calibri"/>
                <w:sz w:val="20"/>
                <w:szCs w:val="20"/>
              </w:rPr>
            </w:pPr>
            <w:r w:rsidRPr="001941B0">
              <w:rPr>
                <w:rFonts w:cs="Calibri"/>
                <w:sz w:val="20"/>
                <w:szCs w:val="20"/>
              </w:rPr>
              <w:t xml:space="preserve">Dotychczasowe brzmienie tego przepisu zakłada, że rejestry te zawierają „imię i nazwisko osoby odpowiedzialnej za prowadzenie hurtowni oraz numer prawa wykonywania zawodu, a w przypadku jego braku – numer PESEL; </w:t>
            </w:r>
            <w:r w:rsidRPr="001941B0">
              <w:rPr>
                <w:rFonts w:cs="Calibri"/>
                <w:sz w:val="20"/>
                <w:szCs w:val="20"/>
                <w:u w:val="single"/>
              </w:rPr>
              <w:t>w przypadku osób,</w:t>
            </w:r>
            <w:r w:rsidRPr="001941B0">
              <w:rPr>
                <w:rFonts w:cs="Calibri"/>
                <w:sz w:val="20"/>
                <w:szCs w:val="20"/>
              </w:rPr>
              <w:t xml:space="preserve"> </w:t>
            </w:r>
            <w:r w:rsidRPr="001941B0">
              <w:rPr>
                <w:rFonts w:cs="Calibri"/>
                <w:sz w:val="20"/>
                <w:szCs w:val="20"/>
                <w:u w:val="single"/>
              </w:rPr>
              <w:t xml:space="preserve">którym nie nadano numeru PESEL </w:t>
            </w:r>
            <w:r w:rsidRPr="001941B0">
              <w:rPr>
                <w:rFonts w:cs="Calibri"/>
                <w:sz w:val="20"/>
                <w:szCs w:val="20"/>
              </w:rPr>
              <w:t>–</w:t>
            </w:r>
            <w:r w:rsidRPr="001941B0">
              <w:rPr>
                <w:rFonts w:cs="Calibri"/>
                <w:sz w:val="20"/>
                <w:szCs w:val="20"/>
                <w:u w:val="single"/>
              </w:rPr>
              <w:t xml:space="preserve"> identyfikator nadawany zgodnie z przepisami</w:t>
            </w:r>
            <w:r w:rsidRPr="001941B0">
              <w:rPr>
                <w:rFonts w:cs="Calibri"/>
                <w:sz w:val="20"/>
                <w:szCs w:val="20"/>
              </w:rPr>
              <w:t xml:space="preserve"> </w:t>
            </w:r>
            <w:r w:rsidRPr="001941B0">
              <w:rPr>
                <w:rFonts w:cs="Calibri"/>
                <w:sz w:val="20"/>
                <w:szCs w:val="20"/>
                <w:u w:val="single"/>
              </w:rPr>
              <w:t>wydanymi na podstawie art. 18 ustawy z dnia 28 kwietnia 2011 r. o systemie informacji w</w:t>
            </w:r>
            <w:r w:rsidRPr="001941B0">
              <w:rPr>
                <w:rFonts w:cs="Calibri"/>
                <w:sz w:val="20"/>
                <w:szCs w:val="20"/>
              </w:rPr>
              <w:t xml:space="preserve"> </w:t>
            </w:r>
            <w:r w:rsidRPr="001941B0">
              <w:rPr>
                <w:rFonts w:cs="Calibri"/>
                <w:sz w:val="20"/>
                <w:szCs w:val="20"/>
                <w:u w:val="single"/>
              </w:rPr>
              <w:t>ochronie zdrowia</w:t>
            </w:r>
            <w:r w:rsidRPr="001941B0">
              <w:rPr>
                <w:rFonts w:cs="Calibri"/>
                <w:sz w:val="20"/>
                <w:szCs w:val="20"/>
              </w:rPr>
              <w:t xml:space="preserve">.”. </w:t>
            </w:r>
          </w:p>
          <w:p w14:paraId="6A3B9E32" w14:textId="062E10AA" w:rsidR="00686D3B" w:rsidRPr="001941B0" w:rsidRDefault="007D3FBC" w:rsidP="006E0CB2">
            <w:pPr>
              <w:autoSpaceDE w:val="0"/>
              <w:autoSpaceDN w:val="0"/>
              <w:adjustRightInd w:val="0"/>
              <w:spacing w:after="0" w:line="240" w:lineRule="auto"/>
              <w:rPr>
                <w:rFonts w:cs="Calibri"/>
                <w:sz w:val="20"/>
                <w:szCs w:val="20"/>
              </w:rPr>
            </w:pPr>
            <w:r w:rsidRPr="001941B0">
              <w:rPr>
                <w:rFonts w:cs="Calibri"/>
                <w:sz w:val="20"/>
                <w:szCs w:val="20"/>
              </w:rPr>
              <w:t xml:space="preserve">W ocenie organu nadzorczego, jeżeli w obecnym stanie prawnym nie było konieczności zamieszczania numeru PESEL w omawianych rejestrach – mógł zamiast niego funkcjonować identyfikator nadawany zgodnie z przepisami wydanymi na podstawie art. 18 ustawy z dnia 28 kwietnia 2011 r. o systemie informacji w ochronie zdrowia – to, w związku z nowelizacją art. 83 ust. 2 pkt 3 Prawa farmaceutycznego, projektodawca powinien odstąpić od umieszczania numeru PESEL w tych </w:t>
            </w:r>
            <w:r w:rsidRPr="001941B0">
              <w:rPr>
                <w:rFonts w:cs="Calibri"/>
                <w:sz w:val="20"/>
                <w:szCs w:val="20"/>
              </w:rPr>
              <w:lastRenderedPageBreak/>
              <w:t>rejestrach i zastąpić go innym unikalnym identyfikatorem, nie mającym tak sensytywnego charakteru jak numer PESEL. Numer PESEL na podstawie art. 87 rozporządzenia 2016/679</w:t>
            </w:r>
            <w:r w:rsidRPr="001941B0">
              <w:rPr>
                <w:rFonts w:cs="Calibri"/>
                <w:sz w:val="20"/>
                <w:szCs w:val="20"/>
                <w:vertAlign w:val="superscript"/>
              </w:rPr>
              <w:footnoteReference w:id="13"/>
            </w:r>
            <w:r w:rsidRPr="001941B0">
              <w:rPr>
                <w:rFonts w:cs="Calibri"/>
                <w:sz w:val="20"/>
                <w:szCs w:val="20"/>
              </w:rPr>
              <w:t xml:space="preserve"> jest krajowym numerem identyfikacyjnym, którego przetwarzanie powinno odbywać się z zachowaniem odpowiednich zabezpieczeń praw i wolności osoby, której dane dotyczą, przewidzianych w rozporządzeniu 2016/679. Dlatego też niezbędność przetwarzania numeru PESEL powinna zawsze być poddana analizie przez projektodawcę, w tym wypadku w ocenie skutków dla ochrony danych. Odpowiadałoby to zasadzie zgodności z prawem, rzetelności i przejrzystości, ograniczenia celu oraz minimalizacji danych.</w:t>
            </w:r>
          </w:p>
        </w:tc>
        <w:tc>
          <w:tcPr>
            <w:tcW w:w="2855" w:type="dxa"/>
            <w:shd w:val="clear" w:color="auto" w:fill="FFFFFF" w:themeFill="background1"/>
          </w:tcPr>
          <w:p w14:paraId="1AFAE68F" w14:textId="7480D5AA" w:rsidR="00916922" w:rsidRPr="001941B0" w:rsidRDefault="00291798" w:rsidP="006E0CB2">
            <w:pPr>
              <w:autoSpaceDE w:val="0"/>
              <w:autoSpaceDN w:val="0"/>
              <w:adjustRightInd w:val="0"/>
              <w:spacing w:after="0" w:line="240" w:lineRule="auto"/>
              <w:rPr>
                <w:rFonts w:cstheme="minorHAnsi"/>
                <w:b/>
                <w:bCs/>
                <w:color w:val="000000" w:themeColor="text1"/>
                <w:sz w:val="20"/>
                <w:szCs w:val="20"/>
              </w:rPr>
            </w:pPr>
            <w:r w:rsidRPr="001941B0">
              <w:rPr>
                <w:rFonts w:cstheme="minorHAnsi"/>
                <w:b/>
                <w:bCs/>
                <w:color w:val="000000" w:themeColor="text1"/>
                <w:sz w:val="20"/>
                <w:szCs w:val="20"/>
              </w:rPr>
              <w:lastRenderedPageBreak/>
              <w:t>Uwaga nieuwzględniona</w:t>
            </w:r>
          </w:p>
          <w:p w14:paraId="0C30C6A0" w14:textId="265221B6" w:rsidR="00686D3B" w:rsidRPr="001941B0" w:rsidRDefault="00291798" w:rsidP="006E0CB2">
            <w:pPr>
              <w:autoSpaceDE w:val="0"/>
              <w:autoSpaceDN w:val="0"/>
              <w:adjustRightInd w:val="0"/>
              <w:spacing w:after="0" w:line="240" w:lineRule="auto"/>
              <w:rPr>
                <w:rFonts w:cstheme="minorHAnsi"/>
                <w:color w:val="000000" w:themeColor="text1"/>
                <w:sz w:val="20"/>
                <w:szCs w:val="20"/>
              </w:rPr>
            </w:pPr>
            <w:r w:rsidRPr="001941B0">
              <w:rPr>
                <w:rFonts w:cstheme="minorHAnsi"/>
                <w:color w:val="000000" w:themeColor="text1"/>
                <w:sz w:val="20"/>
                <w:szCs w:val="20"/>
              </w:rPr>
              <w:t xml:space="preserve">Poza </w:t>
            </w:r>
            <w:r w:rsidR="008A446B" w:rsidRPr="001941B0">
              <w:rPr>
                <w:rFonts w:cstheme="minorHAnsi"/>
                <w:color w:val="000000" w:themeColor="text1"/>
                <w:sz w:val="20"/>
                <w:szCs w:val="20"/>
              </w:rPr>
              <w:t xml:space="preserve">zakresem projektowanej regulacji. </w:t>
            </w:r>
            <w:r w:rsidR="00916922" w:rsidRPr="001941B0">
              <w:rPr>
                <w:rFonts w:cstheme="minorHAnsi"/>
                <w:color w:val="000000" w:themeColor="text1"/>
                <w:sz w:val="20"/>
                <w:szCs w:val="20"/>
              </w:rPr>
              <w:t>K</w:t>
            </w:r>
            <w:r w:rsidR="005139DC" w:rsidRPr="001941B0">
              <w:rPr>
                <w:rFonts w:cstheme="minorHAnsi"/>
                <w:color w:val="000000" w:themeColor="text1"/>
                <w:sz w:val="20"/>
                <w:szCs w:val="20"/>
              </w:rPr>
              <w:t xml:space="preserve">onieczność posługiwania się numerem </w:t>
            </w:r>
            <w:r w:rsidR="00015B94" w:rsidRPr="001941B0">
              <w:rPr>
                <w:rFonts w:cstheme="minorHAnsi"/>
                <w:color w:val="000000" w:themeColor="text1"/>
                <w:sz w:val="20"/>
                <w:szCs w:val="20"/>
              </w:rPr>
              <w:t xml:space="preserve">PESEL </w:t>
            </w:r>
            <w:r w:rsidR="0040196D" w:rsidRPr="001941B0">
              <w:rPr>
                <w:rFonts w:cstheme="minorHAnsi"/>
                <w:color w:val="000000" w:themeColor="text1"/>
                <w:sz w:val="20"/>
                <w:szCs w:val="20"/>
              </w:rPr>
              <w:t xml:space="preserve">została </w:t>
            </w:r>
            <w:r w:rsidR="0040196D" w:rsidRPr="001941B0">
              <w:rPr>
                <w:rFonts w:cs="Calibri"/>
                <w:sz w:val="20"/>
                <w:szCs w:val="20"/>
              </w:rPr>
              <w:t>poddana</w:t>
            </w:r>
            <w:r w:rsidR="00015B94" w:rsidRPr="001941B0">
              <w:rPr>
                <w:rFonts w:cs="Calibri"/>
                <w:sz w:val="20"/>
                <w:szCs w:val="20"/>
              </w:rPr>
              <w:t xml:space="preserve"> analizie przez projektodawcę, w tym w ocenie skutków dla ochrony danych</w:t>
            </w:r>
            <w:r w:rsidR="002B655D" w:rsidRPr="001941B0">
              <w:rPr>
                <w:rFonts w:cs="Calibri"/>
                <w:sz w:val="20"/>
                <w:szCs w:val="20"/>
              </w:rPr>
              <w:t xml:space="preserve"> (DPIA)</w:t>
            </w:r>
            <w:r w:rsidR="0073355F" w:rsidRPr="001941B0">
              <w:rPr>
                <w:rFonts w:cstheme="minorHAnsi"/>
                <w:color w:val="000000" w:themeColor="text1"/>
                <w:sz w:val="20"/>
                <w:szCs w:val="20"/>
              </w:rPr>
              <w:t>.</w:t>
            </w:r>
          </w:p>
        </w:tc>
      </w:tr>
      <w:tr w:rsidR="00952A06" w:rsidRPr="001941B0" w14:paraId="0A7CA807" w14:textId="77777777" w:rsidTr="00DE7BB4">
        <w:tc>
          <w:tcPr>
            <w:tcW w:w="14316" w:type="dxa"/>
            <w:gridSpan w:val="5"/>
            <w:shd w:val="clear" w:color="auto" w:fill="ADADAD" w:themeFill="background2" w:themeFillShade="BF"/>
          </w:tcPr>
          <w:p w14:paraId="5758F35A" w14:textId="0DE4FE3B" w:rsidR="0063705A" w:rsidRPr="001941B0" w:rsidRDefault="0063705A" w:rsidP="006E0CB2">
            <w:pPr>
              <w:autoSpaceDE w:val="0"/>
              <w:autoSpaceDN w:val="0"/>
              <w:adjustRightInd w:val="0"/>
              <w:spacing w:after="0" w:line="240" w:lineRule="auto"/>
              <w:rPr>
                <w:rFonts w:cstheme="minorHAnsi"/>
                <w:sz w:val="20"/>
                <w:szCs w:val="20"/>
              </w:rPr>
            </w:pPr>
            <w:bookmarkStart w:id="4" w:name="ART_3"/>
            <w:r w:rsidRPr="001941B0">
              <w:rPr>
                <w:rFonts w:cstheme="minorHAnsi"/>
                <w:b/>
                <w:sz w:val="20"/>
                <w:szCs w:val="20"/>
              </w:rPr>
              <w:t>ART. 3</w:t>
            </w:r>
            <w:bookmarkEnd w:id="4"/>
          </w:p>
        </w:tc>
      </w:tr>
      <w:tr w:rsidR="00FC7212" w:rsidRPr="001941B0" w14:paraId="5D5B5A8B" w14:textId="77777777" w:rsidTr="7139DBB9">
        <w:tc>
          <w:tcPr>
            <w:tcW w:w="1125" w:type="dxa"/>
            <w:shd w:val="clear" w:color="auto" w:fill="FFFFFF" w:themeFill="background1"/>
          </w:tcPr>
          <w:p w14:paraId="0633882C"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1FBADFF" w14:textId="13B993B9"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Federacja Związków Pracodawców Ochrony Zdrowia „Porozumienie Zielonogórskie”</w:t>
            </w:r>
          </w:p>
        </w:tc>
        <w:tc>
          <w:tcPr>
            <w:tcW w:w="1949" w:type="dxa"/>
            <w:shd w:val="clear" w:color="auto" w:fill="FFFFFF" w:themeFill="background1"/>
          </w:tcPr>
          <w:p w14:paraId="2F4EB0FB" w14:textId="4409118C"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 xml:space="preserve">Art. 3 </w:t>
            </w:r>
          </w:p>
        </w:tc>
        <w:tc>
          <w:tcPr>
            <w:tcW w:w="5652" w:type="dxa"/>
            <w:shd w:val="clear" w:color="auto" w:fill="FFFFFF" w:themeFill="background1"/>
          </w:tcPr>
          <w:p w14:paraId="78E86081" w14:textId="23DF7DAA"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W związku z różnicami interpretacyjnymi co do możliwości potwierdzania uprawnień do świadczeń przez teleporadę poprzez ustne złożenie oświadczenia o prawie do świadczeń w przypadku gdy system eWUŚ nie potwierdza prawa do świadczeń należy albo potwierdzić, że taka możliwość wynika z aktualnego stanu prawnego albo poprawić zapisy tak aby wynikało z nich to jednoznacznie.</w:t>
            </w:r>
          </w:p>
        </w:tc>
        <w:tc>
          <w:tcPr>
            <w:tcW w:w="2855" w:type="dxa"/>
            <w:shd w:val="clear" w:color="auto" w:fill="FFFFFF" w:themeFill="background1"/>
          </w:tcPr>
          <w:p w14:paraId="3F7E438A" w14:textId="55F65F3E" w:rsidR="00CA3019" w:rsidRPr="001941B0" w:rsidRDefault="086F298F" w:rsidP="1B5FDD98">
            <w:pPr>
              <w:autoSpaceDE w:val="0"/>
              <w:autoSpaceDN w:val="0"/>
              <w:adjustRightInd w:val="0"/>
              <w:spacing w:after="0" w:line="240" w:lineRule="auto"/>
              <w:rPr>
                <w:b/>
                <w:bCs/>
                <w:sz w:val="20"/>
                <w:szCs w:val="20"/>
              </w:rPr>
            </w:pPr>
            <w:r w:rsidRPr="001941B0">
              <w:rPr>
                <w:b/>
                <w:bCs/>
                <w:sz w:val="20"/>
                <w:szCs w:val="20"/>
              </w:rPr>
              <w:t>Uwaga nieuwzględniona</w:t>
            </w:r>
          </w:p>
          <w:p w14:paraId="3504C36A" w14:textId="78C93558" w:rsidR="00567098" w:rsidRPr="001941B0" w:rsidRDefault="086F298F" w:rsidP="1B5FDD98">
            <w:pPr>
              <w:autoSpaceDE w:val="0"/>
              <w:autoSpaceDN w:val="0"/>
              <w:adjustRightInd w:val="0"/>
              <w:spacing w:after="0" w:line="240" w:lineRule="auto"/>
              <w:rPr>
                <w:sz w:val="20"/>
                <w:szCs w:val="20"/>
              </w:rPr>
            </w:pPr>
            <w:r w:rsidRPr="001941B0">
              <w:rPr>
                <w:sz w:val="20"/>
                <w:szCs w:val="20"/>
              </w:rPr>
              <w:t xml:space="preserve">Poza zakresem projektowanej </w:t>
            </w:r>
            <w:r w:rsidR="74CADCDD" w:rsidRPr="001941B0">
              <w:rPr>
                <w:sz w:val="20"/>
                <w:szCs w:val="20"/>
              </w:rPr>
              <w:t>ustawy.</w:t>
            </w:r>
          </w:p>
          <w:p w14:paraId="7BA28F0D" w14:textId="77777777" w:rsidR="00CA3019" w:rsidRPr="001941B0" w:rsidRDefault="00CA3019" w:rsidP="006E0CB2">
            <w:pPr>
              <w:autoSpaceDE w:val="0"/>
              <w:autoSpaceDN w:val="0"/>
              <w:adjustRightInd w:val="0"/>
              <w:spacing w:after="0" w:line="240" w:lineRule="auto"/>
              <w:rPr>
                <w:rFonts w:cstheme="minorHAnsi"/>
                <w:sz w:val="20"/>
                <w:szCs w:val="20"/>
              </w:rPr>
            </w:pPr>
          </w:p>
          <w:p w14:paraId="05CB251C" w14:textId="18750D63" w:rsidR="0063705A" w:rsidRPr="001941B0" w:rsidRDefault="0063705A" w:rsidP="006E0CB2">
            <w:pPr>
              <w:autoSpaceDE w:val="0"/>
              <w:autoSpaceDN w:val="0"/>
              <w:adjustRightInd w:val="0"/>
              <w:spacing w:after="0" w:line="240" w:lineRule="auto"/>
              <w:rPr>
                <w:sz w:val="20"/>
                <w:szCs w:val="20"/>
              </w:rPr>
            </w:pPr>
          </w:p>
        </w:tc>
      </w:tr>
      <w:tr w:rsidR="00952A06" w:rsidRPr="001941B0" w14:paraId="0F132D63" w14:textId="77777777" w:rsidTr="00DE7BB4">
        <w:trPr>
          <w:trHeight w:val="315"/>
        </w:trPr>
        <w:tc>
          <w:tcPr>
            <w:tcW w:w="14316" w:type="dxa"/>
            <w:gridSpan w:val="5"/>
            <w:tcBorders>
              <w:top w:val="single" w:sz="4" w:space="0" w:color="auto"/>
              <w:left w:val="single" w:sz="4" w:space="0" w:color="auto"/>
              <w:bottom w:val="single" w:sz="4" w:space="0" w:color="auto"/>
              <w:right w:val="single" w:sz="4" w:space="0" w:color="auto"/>
            </w:tcBorders>
            <w:shd w:val="clear" w:color="auto" w:fill="ADADAD" w:themeFill="background2" w:themeFillShade="BF"/>
          </w:tcPr>
          <w:p w14:paraId="32234B79" w14:textId="2E3C9B1A" w:rsidR="0063705A" w:rsidRPr="001941B0" w:rsidRDefault="0063705A" w:rsidP="006E0CB2">
            <w:pPr>
              <w:autoSpaceDE w:val="0"/>
              <w:autoSpaceDN w:val="0"/>
              <w:adjustRightInd w:val="0"/>
              <w:spacing w:after="0" w:line="240" w:lineRule="auto"/>
              <w:rPr>
                <w:rFonts w:cstheme="minorHAnsi"/>
                <w:sz w:val="20"/>
                <w:szCs w:val="20"/>
              </w:rPr>
            </w:pPr>
            <w:bookmarkStart w:id="5" w:name="ART_4"/>
            <w:r w:rsidRPr="001941B0">
              <w:rPr>
                <w:rFonts w:cstheme="minorHAnsi"/>
                <w:b/>
                <w:sz w:val="20"/>
                <w:szCs w:val="20"/>
              </w:rPr>
              <w:t>ART. 4</w:t>
            </w:r>
            <w:bookmarkEnd w:id="5"/>
          </w:p>
        </w:tc>
      </w:tr>
      <w:tr w:rsidR="00FC7212" w:rsidRPr="001941B0" w14:paraId="578BCAED" w14:textId="77777777" w:rsidTr="7139DBB9">
        <w:tc>
          <w:tcPr>
            <w:tcW w:w="1125" w:type="dxa"/>
            <w:shd w:val="clear" w:color="auto" w:fill="FFFFFF" w:themeFill="background1"/>
          </w:tcPr>
          <w:p w14:paraId="6DC0ECEE"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D4E489F" w14:textId="029C3D06"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POROZUMIENIE PRACODAWCÓW OCHRONY ZDROWIA</w:t>
            </w:r>
          </w:p>
        </w:tc>
        <w:tc>
          <w:tcPr>
            <w:tcW w:w="1949" w:type="dxa"/>
            <w:shd w:val="clear" w:color="auto" w:fill="FFFFFF" w:themeFill="background1"/>
          </w:tcPr>
          <w:p w14:paraId="5F44AD70" w14:textId="36FFAB0A" w:rsidR="0063705A" w:rsidRPr="001941B0" w:rsidRDefault="00F86FEA" w:rsidP="006E0CB2">
            <w:pPr>
              <w:autoSpaceDE w:val="0"/>
              <w:autoSpaceDN w:val="0"/>
              <w:adjustRightInd w:val="0"/>
              <w:spacing w:after="0" w:line="240" w:lineRule="auto"/>
              <w:rPr>
                <w:rFonts w:cs="Calibri"/>
                <w:sz w:val="20"/>
                <w:szCs w:val="20"/>
              </w:rPr>
            </w:pPr>
            <w:r>
              <w:rPr>
                <w:rFonts w:cs="Calibri"/>
                <w:sz w:val="20"/>
                <w:szCs w:val="20"/>
              </w:rPr>
              <w:t>Art.</w:t>
            </w:r>
            <w:r w:rsidR="0063705A" w:rsidRPr="001941B0">
              <w:rPr>
                <w:rFonts w:cs="Calibri"/>
                <w:sz w:val="20"/>
                <w:szCs w:val="20"/>
              </w:rPr>
              <w:t xml:space="preserve"> 4 pkt 2)</w:t>
            </w:r>
          </w:p>
        </w:tc>
        <w:tc>
          <w:tcPr>
            <w:tcW w:w="5652" w:type="dxa"/>
            <w:shd w:val="clear" w:color="auto" w:fill="FFFFFF" w:themeFill="background1"/>
          </w:tcPr>
          <w:p w14:paraId="68BE8BEF" w14:textId="4D38C0B9" w:rsidR="0063705A" w:rsidRPr="001941B0" w:rsidRDefault="00F64F9A" w:rsidP="006E0CB2">
            <w:pPr>
              <w:autoSpaceDE w:val="0"/>
              <w:autoSpaceDN w:val="0"/>
              <w:adjustRightInd w:val="0"/>
              <w:spacing w:after="0" w:line="240" w:lineRule="auto"/>
              <w:rPr>
                <w:rFonts w:cs="Calibri"/>
                <w:sz w:val="20"/>
                <w:szCs w:val="20"/>
              </w:rPr>
            </w:pPr>
            <w:r w:rsidRPr="00836428">
              <w:rPr>
                <w:rFonts w:cs="Calibri"/>
                <w:bCs/>
                <w:iCs/>
                <w:sz w:val="20"/>
                <w:szCs w:val="20"/>
              </w:rPr>
              <w:t xml:space="preserve">PPOZ negatywnie ocenia zmiany w art. 30a ustawy z dnia 6 listopada 2008 r. o prawach pacjenta i Rzeczniku Praw Pacjenta, których celem jest </w:t>
            </w:r>
            <w:r w:rsidRPr="00836428">
              <w:rPr>
                <w:rFonts w:cs="Calibri"/>
                <w:b/>
                <w:bCs/>
                <w:iCs/>
                <w:sz w:val="20"/>
                <w:szCs w:val="20"/>
              </w:rPr>
              <w:t>nałożenie na podmiot udzielający świadczeń zdrowotnych, który zaprzestaje swojej działalności, generalnego obowiązku zapewnienia przechowywania elektronicznej dokumentacji medycznej</w:t>
            </w:r>
            <w:r w:rsidRPr="00836428">
              <w:rPr>
                <w:rFonts w:cs="Calibri"/>
                <w:bCs/>
                <w:iCs/>
                <w:sz w:val="20"/>
                <w:szCs w:val="20"/>
              </w:rPr>
              <w:t xml:space="preserve"> na zasadach analogicznych, co w przypadku dokumentacji papierowej. W ocenie PPOZ zasadne jest obecne rozwiązanie, zgodnie z którym elektroniczna dokumentacja medyczna po zaprzestaniu wykonywania działalności leczniczej jest </w:t>
            </w:r>
            <w:r w:rsidRPr="00836428">
              <w:rPr>
                <w:rFonts w:cs="Calibri"/>
                <w:bCs/>
                <w:iCs/>
                <w:sz w:val="20"/>
                <w:szCs w:val="20"/>
              </w:rPr>
              <w:lastRenderedPageBreak/>
              <w:t>przechowywana i udostępniana przez jednostkę podległą Ministrowi Zdrowia (art. 30a ust. 9). Obecne rozwiązanie zapewnia pełną dostępność dokumentacji medycznej dla pacjentów, jednocześnie zaś nie zmusza podmiotu, który zaprzestał wykonywania działalności leczniczej, do ponoszenia kosztów przechowywania tej dokumentacji – należy więc je utrzymać.</w:t>
            </w:r>
          </w:p>
        </w:tc>
        <w:tc>
          <w:tcPr>
            <w:tcW w:w="2855" w:type="dxa"/>
            <w:shd w:val="clear" w:color="auto" w:fill="FFFFFF" w:themeFill="background1"/>
          </w:tcPr>
          <w:p w14:paraId="0439CAC2" w14:textId="0B594C82" w:rsidR="00436096" w:rsidRPr="001941B0" w:rsidRDefault="00436096" w:rsidP="006E0CB2">
            <w:pPr>
              <w:autoSpaceDE w:val="0"/>
              <w:autoSpaceDN w:val="0"/>
              <w:adjustRightInd w:val="0"/>
              <w:spacing w:after="0" w:line="240" w:lineRule="auto"/>
              <w:rPr>
                <w:b/>
                <w:sz w:val="20"/>
                <w:szCs w:val="20"/>
              </w:rPr>
            </w:pPr>
            <w:r w:rsidRPr="001941B0">
              <w:rPr>
                <w:b/>
                <w:sz w:val="20"/>
                <w:szCs w:val="20"/>
              </w:rPr>
              <w:lastRenderedPageBreak/>
              <w:t xml:space="preserve">Uwaga </w:t>
            </w:r>
            <w:r w:rsidR="00C02DA0" w:rsidRPr="001941B0">
              <w:rPr>
                <w:b/>
                <w:sz w:val="20"/>
                <w:szCs w:val="20"/>
              </w:rPr>
              <w:t xml:space="preserve">uwzględniona </w:t>
            </w:r>
          </w:p>
          <w:p w14:paraId="52F2F717" w14:textId="77777777" w:rsidR="00136CF9" w:rsidRPr="001941B0" w:rsidRDefault="00136CF9" w:rsidP="006E0CB2">
            <w:pPr>
              <w:autoSpaceDE w:val="0"/>
              <w:autoSpaceDN w:val="0"/>
              <w:adjustRightInd w:val="0"/>
              <w:spacing w:after="0" w:line="240" w:lineRule="auto"/>
              <w:rPr>
                <w:sz w:val="20"/>
                <w:szCs w:val="20"/>
              </w:rPr>
            </w:pPr>
          </w:p>
          <w:p w14:paraId="710B3F64" w14:textId="5FAC04B0" w:rsidR="0063705A" w:rsidRPr="001941B0" w:rsidRDefault="0063705A" w:rsidP="00A0798D">
            <w:pPr>
              <w:autoSpaceDE w:val="0"/>
              <w:autoSpaceDN w:val="0"/>
              <w:adjustRightInd w:val="0"/>
              <w:spacing w:after="0" w:line="240" w:lineRule="auto"/>
              <w:rPr>
                <w:rFonts w:cstheme="minorHAnsi"/>
                <w:sz w:val="20"/>
                <w:szCs w:val="20"/>
              </w:rPr>
            </w:pPr>
          </w:p>
        </w:tc>
      </w:tr>
      <w:tr w:rsidR="00FC7212" w:rsidRPr="001941B0" w14:paraId="4EA6E0B8" w14:textId="77777777" w:rsidTr="7139DBB9">
        <w:trPr>
          <w:trHeight w:val="3165"/>
        </w:trPr>
        <w:tc>
          <w:tcPr>
            <w:tcW w:w="1125" w:type="dxa"/>
            <w:shd w:val="clear" w:color="auto" w:fill="FFFFFF" w:themeFill="background1"/>
          </w:tcPr>
          <w:p w14:paraId="2899A757"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9B58109" w14:textId="40EB89EB"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Naczelna Rada Pielęgniarek </w:t>
            </w:r>
            <w:r w:rsidRPr="001941B0">
              <w:rPr>
                <w:sz w:val="20"/>
                <w:szCs w:val="20"/>
              </w:rPr>
              <w:br/>
            </w:r>
            <w:r w:rsidRPr="001941B0">
              <w:rPr>
                <w:rFonts w:eastAsiaTheme="minorEastAsia"/>
                <w:sz w:val="20"/>
                <w:szCs w:val="20"/>
              </w:rPr>
              <w:t>i Położnych</w:t>
            </w:r>
          </w:p>
        </w:tc>
        <w:tc>
          <w:tcPr>
            <w:tcW w:w="1949" w:type="dxa"/>
            <w:shd w:val="clear" w:color="auto" w:fill="FFFFFF" w:themeFill="background1"/>
          </w:tcPr>
          <w:p w14:paraId="20EA55C5" w14:textId="1484D745" w:rsidR="0063705A" w:rsidRPr="001941B0" w:rsidRDefault="00F86FEA" w:rsidP="006E0CB2">
            <w:pPr>
              <w:autoSpaceDE w:val="0"/>
              <w:autoSpaceDN w:val="0"/>
              <w:adjustRightInd w:val="0"/>
              <w:spacing w:after="0" w:line="240" w:lineRule="auto"/>
              <w:rPr>
                <w:rFonts w:eastAsiaTheme="minorEastAsia"/>
                <w:sz w:val="20"/>
                <w:szCs w:val="20"/>
              </w:rPr>
            </w:pPr>
            <w:r>
              <w:rPr>
                <w:rFonts w:eastAsiaTheme="minorEastAsia"/>
                <w:sz w:val="20"/>
                <w:szCs w:val="20"/>
              </w:rPr>
              <w:t>A</w:t>
            </w:r>
            <w:r w:rsidR="0063705A" w:rsidRPr="001941B0">
              <w:rPr>
                <w:rFonts w:eastAsiaTheme="minorEastAsia"/>
                <w:sz w:val="20"/>
                <w:szCs w:val="20"/>
              </w:rPr>
              <w:t>rt. 4 pkt 3</w:t>
            </w:r>
          </w:p>
          <w:p w14:paraId="0333F72E" w14:textId="77777777" w:rsidR="001D5B11" w:rsidRPr="001941B0" w:rsidRDefault="001D5B11" w:rsidP="006E0CB2">
            <w:pPr>
              <w:autoSpaceDE w:val="0"/>
              <w:autoSpaceDN w:val="0"/>
              <w:adjustRightInd w:val="0"/>
              <w:spacing w:after="0" w:line="240" w:lineRule="auto"/>
              <w:rPr>
                <w:rFonts w:eastAsiaTheme="minorEastAsia"/>
                <w:sz w:val="20"/>
                <w:szCs w:val="20"/>
              </w:rPr>
            </w:pPr>
          </w:p>
          <w:p w14:paraId="3323F43D" w14:textId="79C9EBB6" w:rsidR="0063705A" w:rsidRPr="001941B0" w:rsidRDefault="0063705A" w:rsidP="006E0CB2">
            <w:pPr>
              <w:autoSpaceDE w:val="0"/>
              <w:autoSpaceDN w:val="0"/>
              <w:adjustRightInd w:val="0"/>
              <w:spacing w:after="0" w:line="240" w:lineRule="auto"/>
              <w:rPr>
                <w:rFonts w:eastAsiaTheme="minorEastAsia"/>
                <w:b/>
                <w:sz w:val="20"/>
                <w:szCs w:val="20"/>
              </w:rPr>
            </w:pPr>
          </w:p>
        </w:tc>
        <w:tc>
          <w:tcPr>
            <w:tcW w:w="5652" w:type="dxa"/>
            <w:shd w:val="clear" w:color="auto" w:fill="FFFFFF" w:themeFill="background1"/>
          </w:tcPr>
          <w:p w14:paraId="78E9337D" w14:textId="04F7142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Uwaga: Proponujemy dodanie do projektowanej treści karty pacjenta, oprócz informacji o wybranym lekarzu podstawowej opieki zdrowotnej również informacji  o wybranej pielęgniarce podstawowej opieki zdrowotnej i położnej podstawowej opieki zdrowotnej.</w:t>
            </w:r>
          </w:p>
          <w:p w14:paraId="2919A6AA" w14:textId="02E76C06" w:rsidR="0063705A" w:rsidRPr="001941B0" w:rsidRDefault="0063705A" w:rsidP="006E0CB2">
            <w:pPr>
              <w:autoSpaceDE w:val="0"/>
              <w:autoSpaceDN w:val="0"/>
              <w:adjustRightInd w:val="0"/>
              <w:spacing w:after="0" w:line="240" w:lineRule="auto"/>
              <w:rPr>
                <w:rFonts w:eastAsiaTheme="minorEastAsia"/>
                <w:sz w:val="20"/>
                <w:szCs w:val="20"/>
              </w:rPr>
            </w:pPr>
          </w:p>
          <w:p w14:paraId="361CE9E5" w14:textId="76722BEE"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Uzasadnienie: Zgodnie z art. 4 i 5 ust. 1 i 3 ustawy z dnia 27 października 2017 r. </w:t>
            </w:r>
            <w:r w:rsidRPr="001941B0">
              <w:rPr>
                <w:rFonts w:eastAsiaTheme="minorEastAsia"/>
                <w:i/>
                <w:sz w:val="20"/>
                <w:szCs w:val="20"/>
              </w:rPr>
              <w:t>o podstawowej opiece zdrowotnej</w:t>
            </w:r>
            <w:r w:rsidRPr="001941B0">
              <w:rPr>
                <w:rFonts w:eastAsiaTheme="minorEastAsia"/>
                <w:sz w:val="20"/>
                <w:szCs w:val="20"/>
              </w:rPr>
              <w:t xml:space="preserve"> (t.j. Dz. U. z 2025 r. poz. 515) koordynacja opieki zdrowotnej nad świadczeniobiorcą w systemie ochrony zdrowia polega na zintegrowaniu udzielania świadczeń opieki zdrowotnej, obejmujących wszystkie etapy i elementy procesu ich realizacji, z wykorzystaniem systemów teleinformatycznych, środków komunikacji elektronicznej lub publicznie dostępnych usług telekomunikacyjnych, ze szczególnym uwzględnieniem jakości i efektywności udzielanych świadczeń. Koordynację, o której mowa powyżej, zapewnia lekarz podstawowej opieki zdrowotnej, we współpracy  z pielęgniarką podstawowej opieki zdrowotnej, i położną podstawowej opieki zdrowotnej.</w:t>
            </w:r>
          </w:p>
          <w:p w14:paraId="729DD7C0" w14:textId="27AD6B0B"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Pielęgniarka POZ i położna POZ, w ramach współpracy z lekarzem POZ, rozpoznają warunki i potrzeby zdrowotne u świadczeniobiorcy oraz problemy pielęgnacyjne, planują i sprawują kompleksową opiekę pielęgniarską, a także kontynuują postępowanie terapeutyczne zlecone przez innego świadczeniodawcę, w ramach swoich kompetencji zawodowych, zgodnie  z aktualną wiedzą medyczną.</w:t>
            </w:r>
          </w:p>
          <w:p w14:paraId="3DACAEE8" w14:textId="06A2F93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Mając na uwadze powyższe, w karcie pacjenta powinna znaleźć się także informacja o wybranej pielęgniarce POZ i położnej POZ.</w:t>
            </w:r>
          </w:p>
          <w:p w14:paraId="56DB596E" w14:textId="0728F21D" w:rsidR="0063705A" w:rsidRPr="001941B0" w:rsidRDefault="0063705A" w:rsidP="006E0CB2">
            <w:pPr>
              <w:autoSpaceDE w:val="0"/>
              <w:autoSpaceDN w:val="0"/>
              <w:adjustRightInd w:val="0"/>
              <w:spacing w:after="0" w:line="240" w:lineRule="auto"/>
              <w:rPr>
                <w:rFonts w:eastAsiaTheme="minorEastAsia"/>
                <w:sz w:val="20"/>
                <w:szCs w:val="20"/>
              </w:rPr>
            </w:pPr>
          </w:p>
          <w:p w14:paraId="055D83F5" w14:textId="5909E883"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rozwiązań: Proponujemy dodanie do projektowanego art. 30b ust. 3 pkt 2 ustawy z dnia 6 listopada 2008 r. </w:t>
            </w:r>
            <w:r w:rsidRPr="001941B0">
              <w:rPr>
                <w:rFonts w:eastAsiaTheme="minorEastAsia"/>
                <w:i/>
                <w:sz w:val="20"/>
                <w:szCs w:val="20"/>
              </w:rPr>
              <w:t>o prawach pacjenta i Rzeczniku Praw Pacjenta</w:t>
            </w:r>
            <w:r w:rsidRPr="001941B0">
              <w:rPr>
                <w:rFonts w:eastAsiaTheme="minorEastAsia"/>
                <w:sz w:val="20"/>
                <w:szCs w:val="20"/>
              </w:rPr>
              <w:t xml:space="preserve"> (t.j. Dz. U. z 2024 r. poz. 581) po wyrazach „lekarzu podstawowej opieki zdrowotnej” następujących słów: „a także wybranej pielęgniarce podstawowej opieki zdrowotnej i wybranej położnej podstawowej opieki zdrowotnej”.</w:t>
            </w:r>
          </w:p>
        </w:tc>
        <w:tc>
          <w:tcPr>
            <w:tcW w:w="2855" w:type="dxa"/>
            <w:shd w:val="clear" w:color="auto" w:fill="FFFFFF" w:themeFill="background1"/>
          </w:tcPr>
          <w:p w14:paraId="68D16430" w14:textId="235DD299" w:rsidR="00D67B0D" w:rsidRPr="001941B0" w:rsidRDefault="00D67B0D" w:rsidP="006E0CB2">
            <w:pPr>
              <w:autoSpaceDE w:val="0"/>
              <w:autoSpaceDN w:val="0"/>
              <w:adjustRightInd w:val="0"/>
              <w:spacing w:after="0" w:line="240" w:lineRule="auto"/>
              <w:rPr>
                <w:rFonts w:cstheme="minorHAnsi"/>
                <w:b/>
                <w:sz w:val="20"/>
                <w:szCs w:val="20"/>
              </w:rPr>
            </w:pPr>
            <w:r w:rsidRPr="001941B0">
              <w:rPr>
                <w:rFonts w:cstheme="minorHAnsi"/>
                <w:b/>
                <w:bCs/>
                <w:sz w:val="20"/>
                <w:szCs w:val="20"/>
              </w:rPr>
              <w:lastRenderedPageBreak/>
              <w:t>Uwaga uwzględniona</w:t>
            </w:r>
          </w:p>
          <w:p w14:paraId="6F9BFF87" w14:textId="19712512" w:rsidR="0063705A" w:rsidRPr="001941B0" w:rsidRDefault="005525A0"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 </w:t>
            </w:r>
          </w:p>
        </w:tc>
      </w:tr>
      <w:tr w:rsidR="00FC7212" w:rsidRPr="001941B0" w14:paraId="7DB251E6" w14:textId="77777777" w:rsidTr="7139DBB9">
        <w:tc>
          <w:tcPr>
            <w:tcW w:w="1125" w:type="dxa"/>
            <w:shd w:val="clear" w:color="auto" w:fill="FFFFFF" w:themeFill="background1"/>
          </w:tcPr>
          <w:p w14:paraId="7307C44A"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C0235BC" w14:textId="2FCC73C8"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Radiologii i diagnostyki obrazowej</w:t>
            </w:r>
          </w:p>
        </w:tc>
        <w:tc>
          <w:tcPr>
            <w:tcW w:w="1949" w:type="dxa"/>
            <w:shd w:val="clear" w:color="auto" w:fill="FFFFFF" w:themeFill="background1"/>
          </w:tcPr>
          <w:p w14:paraId="16459551"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 4 pkt 3</w:t>
            </w:r>
          </w:p>
          <w:p w14:paraId="2CD80558" w14:textId="77777777" w:rsidR="001D5B11" w:rsidRPr="001941B0" w:rsidRDefault="001D5B11" w:rsidP="006E0CB2">
            <w:pPr>
              <w:autoSpaceDE w:val="0"/>
              <w:autoSpaceDN w:val="0"/>
              <w:adjustRightInd w:val="0"/>
              <w:spacing w:after="0" w:line="240" w:lineRule="auto"/>
              <w:rPr>
                <w:rFonts w:cs="Calibri"/>
                <w:sz w:val="20"/>
                <w:szCs w:val="20"/>
              </w:rPr>
            </w:pPr>
          </w:p>
          <w:p w14:paraId="4BD421AC" w14:textId="798BD384" w:rsidR="0063705A" w:rsidRPr="001941B0" w:rsidRDefault="0063705A"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5AB2F4F" w14:textId="79D760D0"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Karta pacjenta (Patient Summary) – </w:t>
            </w:r>
            <w:r w:rsidR="4C1AFBF3" w:rsidRPr="001941B0">
              <w:rPr>
                <w:rFonts w:cs="Calibri"/>
                <w:sz w:val="20"/>
                <w:szCs w:val="20"/>
              </w:rPr>
              <w:t>ustaw</w:t>
            </w:r>
            <w:r w:rsidRPr="001941B0">
              <w:rPr>
                <w:rFonts w:cs="Calibri"/>
                <w:sz w:val="20"/>
                <w:szCs w:val="20"/>
              </w:rPr>
              <w:t xml:space="preserve">a o prawach pacjenta (opis w dokumentach) – karta generowana z SIM, wykorzystywana także transgranicznie (zgoda/tryb ratowania życia). </w:t>
            </w:r>
            <w:r w:rsidRPr="001941B0">
              <w:rPr>
                <w:sz w:val="20"/>
                <w:szCs w:val="20"/>
              </w:rPr>
              <w:t xml:space="preserve"> </w:t>
            </w:r>
            <w:r w:rsidRPr="001941B0">
              <w:rPr>
                <w:rFonts w:cs="Calibri"/>
                <w:sz w:val="20"/>
                <w:szCs w:val="20"/>
              </w:rPr>
              <w:t>Ryzyko „fałszywego poczucia kompletności” karty (niepełne dane, opóźnienia aktualizacji), bez jasnych reguł aktualizacji i oznaczania braków.</w:t>
            </w:r>
          </w:p>
          <w:p w14:paraId="615A5D5A" w14:textId="6984819B" w:rsidR="0063705A" w:rsidRPr="001941B0" w:rsidRDefault="0063705A" w:rsidP="006E0CB2">
            <w:pPr>
              <w:autoSpaceDE w:val="0"/>
              <w:autoSpaceDN w:val="0"/>
              <w:adjustRightInd w:val="0"/>
              <w:spacing w:after="0" w:line="240" w:lineRule="auto"/>
              <w:rPr>
                <w:rFonts w:cs="Calibri"/>
                <w:sz w:val="20"/>
                <w:szCs w:val="20"/>
              </w:rPr>
            </w:pPr>
            <w:r w:rsidRPr="001941B0">
              <w:rPr>
                <w:rFonts w:cs="Calibri"/>
                <w:b/>
                <w:sz w:val="20"/>
                <w:szCs w:val="20"/>
              </w:rPr>
              <w:t>Propozycja:</w:t>
            </w:r>
            <w:r w:rsidRPr="001941B0">
              <w:rPr>
                <w:rFonts w:cs="Calibri"/>
                <w:sz w:val="20"/>
                <w:szCs w:val="20"/>
              </w:rPr>
              <w:t xml:space="preserve"> </w:t>
            </w:r>
            <w:r w:rsidRPr="001941B0">
              <w:rPr>
                <w:sz w:val="20"/>
                <w:szCs w:val="20"/>
              </w:rPr>
              <w:t xml:space="preserve"> </w:t>
            </w:r>
            <w:r w:rsidRPr="001941B0">
              <w:rPr>
                <w:rFonts w:cs="Calibri"/>
                <w:sz w:val="20"/>
                <w:szCs w:val="20"/>
              </w:rPr>
              <w:t>Doprecyzować: źródła danych, reguły aktualizacji, zakres czasowy, datę ostatniej aktualizacji oraz sposób oznaczania braków/niepewności danych.</w:t>
            </w:r>
          </w:p>
          <w:p w14:paraId="241C9C0D" w14:textId="2B58A77C" w:rsidR="0063705A" w:rsidRPr="001941B0" w:rsidRDefault="0063705A" w:rsidP="006E0CB2">
            <w:pPr>
              <w:autoSpaceDE w:val="0"/>
              <w:autoSpaceDN w:val="0"/>
              <w:adjustRightInd w:val="0"/>
              <w:spacing w:after="0" w:line="240" w:lineRule="auto"/>
              <w:rPr>
                <w:rFonts w:cs="Calibri"/>
                <w:sz w:val="20"/>
                <w:szCs w:val="20"/>
              </w:rPr>
            </w:pPr>
            <w:r w:rsidRPr="001941B0">
              <w:rPr>
                <w:rFonts w:cs="Calibri"/>
                <w:b/>
                <w:bCs/>
                <w:sz w:val="20"/>
                <w:szCs w:val="20"/>
              </w:rPr>
              <w:t>Uzasadnienie:</w:t>
            </w:r>
            <w:r w:rsidRPr="001941B0">
              <w:rPr>
                <w:rFonts w:cs="Calibri"/>
                <w:sz w:val="20"/>
                <w:szCs w:val="20"/>
              </w:rPr>
              <w:t xml:space="preserve"> </w:t>
            </w:r>
            <w:r w:rsidRPr="001941B0">
              <w:rPr>
                <w:sz w:val="20"/>
                <w:szCs w:val="20"/>
              </w:rPr>
              <w:t xml:space="preserve"> </w:t>
            </w:r>
            <w:r w:rsidRPr="001941B0">
              <w:rPr>
                <w:rFonts w:cs="Calibri"/>
                <w:sz w:val="20"/>
                <w:szCs w:val="20"/>
              </w:rPr>
              <w:t>Karta ma wspierać decyzje kliniczne – musi być transparentna co do kompletności i aktualności informacji.</w:t>
            </w:r>
          </w:p>
        </w:tc>
        <w:tc>
          <w:tcPr>
            <w:tcW w:w="2855" w:type="dxa"/>
            <w:shd w:val="clear" w:color="auto" w:fill="FFFFFF" w:themeFill="background1"/>
          </w:tcPr>
          <w:p w14:paraId="40AAD620" w14:textId="4C4B167A" w:rsidR="3BFFF770" w:rsidRPr="001941B0" w:rsidRDefault="3BFFF770" w:rsidP="1B5FDD98">
            <w:pPr>
              <w:spacing w:after="0" w:line="240" w:lineRule="auto"/>
              <w:rPr>
                <w:b/>
                <w:bCs/>
                <w:sz w:val="20"/>
                <w:szCs w:val="20"/>
              </w:rPr>
            </w:pPr>
            <w:r w:rsidRPr="001941B0">
              <w:rPr>
                <w:b/>
                <w:bCs/>
                <w:sz w:val="20"/>
                <w:szCs w:val="20"/>
              </w:rPr>
              <w:t>Uwaga uwzględniona</w:t>
            </w:r>
          </w:p>
          <w:p w14:paraId="370CF46E" w14:textId="76F27DDA" w:rsidR="1B5FDD98" w:rsidRPr="001941B0" w:rsidRDefault="1B5FDD98" w:rsidP="1B5FDD98">
            <w:pPr>
              <w:spacing w:after="0" w:line="240" w:lineRule="auto"/>
              <w:rPr>
                <w:sz w:val="20"/>
                <w:szCs w:val="20"/>
              </w:rPr>
            </w:pPr>
          </w:p>
          <w:p w14:paraId="789B6D05" w14:textId="76B6E287" w:rsidR="00322720" w:rsidRPr="001941B0" w:rsidRDefault="00BE6DCE" w:rsidP="006E0CB2">
            <w:pPr>
              <w:autoSpaceDE w:val="0"/>
              <w:autoSpaceDN w:val="0"/>
              <w:adjustRightInd w:val="0"/>
              <w:spacing w:after="0" w:line="240" w:lineRule="auto"/>
              <w:rPr>
                <w:sz w:val="20"/>
                <w:szCs w:val="20"/>
              </w:rPr>
            </w:pPr>
            <w:r w:rsidRPr="001941B0">
              <w:rPr>
                <w:sz w:val="20"/>
                <w:szCs w:val="20"/>
              </w:rPr>
              <w:t xml:space="preserve"> </w:t>
            </w:r>
          </w:p>
        </w:tc>
      </w:tr>
      <w:tr w:rsidR="00FC7212" w:rsidRPr="001941B0" w14:paraId="1138CB6F" w14:textId="77777777" w:rsidTr="7139DBB9">
        <w:tc>
          <w:tcPr>
            <w:tcW w:w="1125" w:type="dxa"/>
            <w:shd w:val="clear" w:color="auto" w:fill="FFFFFF" w:themeFill="background1"/>
          </w:tcPr>
          <w:p w14:paraId="1C8A739F"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6826E50" w14:textId="1650CEC7"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Naczelna Izba Lekarska</w:t>
            </w:r>
          </w:p>
        </w:tc>
        <w:tc>
          <w:tcPr>
            <w:tcW w:w="1949" w:type="dxa"/>
            <w:shd w:val="clear" w:color="auto" w:fill="FFFFFF" w:themeFill="background1"/>
          </w:tcPr>
          <w:p w14:paraId="293BED8F"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 4 pkt 3</w:t>
            </w:r>
          </w:p>
          <w:p w14:paraId="7DE71A49" w14:textId="77777777" w:rsidR="001D5B11" w:rsidRPr="001941B0" w:rsidRDefault="001D5B11" w:rsidP="006E0CB2">
            <w:pPr>
              <w:autoSpaceDE w:val="0"/>
              <w:autoSpaceDN w:val="0"/>
              <w:adjustRightInd w:val="0"/>
              <w:spacing w:after="0" w:line="240" w:lineRule="auto"/>
              <w:rPr>
                <w:rFonts w:cs="Calibri"/>
                <w:sz w:val="20"/>
                <w:szCs w:val="20"/>
              </w:rPr>
            </w:pPr>
          </w:p>
          <w:p w14:paraId="54CE947B" w14:textId="043E6E09" w:rsidR="0063705A" w:rsidRPr="001941B0" w:rsidRDefault="0063705A"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5E873250" w14:textId="62D17463"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 xml:space="preserve">Ustawa przewiduje także wprowadzenie nowego, nieznanego dotąd rodzaju elektronicznej dokumentacji medycznej, czyli karty pacjenta (dodawany art. 30b ustawy z dnia 6 listopada 2008 r. o prawach pacjenta i Rzeczniku Praw Pacjenta i art. 2 pkt 6 ustawy o systemie informacji w ochronie zdrowia). Jak wynika z projektu ustawy będzie to dokument generowany w postaci elektronicznej, karta pacjenta nie będzie miała jednego twórcy i nie będzie podpisywana przez żadnego pracownika medycznego. Karta pacjenta będzie obejmowała dane osobowe i podstawowe jednostkowe dane medyczne o pacjencie dostępne w SIM i będzie generowana na żądanie pracownika medycznego w warunkach art. 35 ustawy o </w:t>
            </w:r>
            <w:r w:rsidRPr="001941B0">
              <w:rPr>
                <w:rFonts w:cs="Calibri"/>
                <w:bCs/>
                <w:sz w:val="20"/>
                <w:szCs w:val="20"/>
              </w:rPr>
              <w:lastRenderedPageBreak/>
              <w:t>systemie informacji w ochronie zdrowia (lekarze POZ, sytuacje ratowania życia, zapewnienie ciągłości leczenia, zapewnienie ciągłości opieki onkologicznej lub opieki kardiologicznej). Wprowadzenie tego dokumentu ma na celu umożliwienie pracownikom medycznym dostępu do danych pacjenta uporządkowanych w jednym dokumencie</w:t>
            </w:r>
          </w:p>
          <w:p w14:paraId="14230CFA" w14:textId="03A21D3A" w:rsidR="0063705A" w:rsidRPr="001941B0" w:rsidRDefault="0063705A" w:rsidP="006E0CB2">
            <w:pPr>
              <w:autoSpaceDE w:val="0"/>
              <w:autoSpaceDN w:val="0"/>
              <w:adjustRightInd w:val="0"/>
              <w:spacing w:after="0" w:line="240" w:lineRule="auto"/>
              <w:rPr>
                <w:rFonts w:cs="Calibri"/>
                <w:sz w:val="20"/>
                <w:szCs w:val="20"/>
              </w:rPr>
            </w:pPr>
            <w:r w:rsidRPr="001941B0">
              <w:rPr>
                <w:rFonts w:cs="Calibri"/>
                <w:bCs/>
                <w:sz w:val="20"/>
                <w:szCs w:val="20"/>
              </w:rPr>
              <w:t>najważniejszych informacji o zdrowiu pacjenta (takich jak np. wszczepione urządzenia, choroby przewlekłe, alergie, przebyte zabiegi). Brak jednak w ustawie narzędzia, które połączyłoby te dane ze zwolnieniem lekarza od obowiązku oznaczania na recepcie poziomu odpłatności leku refundowanego. Środowisko lekarskie oczekuje całkowitego zdjęcia z lekarzy tego obowiązku lub jego automatyzacji. Wprowadzenie karty pacjenta jako dokumentu zawierającego znane Systemowi Informacji Medycznej zbiorcze dane dotyczące stanu zdrowia pacjenta powinno zmierzać w kierunku automatycznego oznaczania poziomu odpłatności leków przez System, a nie przez lekarza.</w:t>
            </w:r>
          </w:p>
        </w:tc>
        <w:tc>
          <w:tcPr>
            <w:tcW w:w="2855" w:type="dxa"/>
            <w:shd w:val="clear" w:color="auto" w:fill="FFFFFF" w:themeFill="background1"/>
          </w:tcPr>
          <w:p w14:paraId="3AC73EFA" w14:textId="77777777" w:rsidR="00F033EA" w:rsidRPr="001941B0" w:rsidRDefault="00112638" w:rsidP="006E0CB2">
            <w:pPr>
              <w:autoSpaceDE w:val="0"/>
              <w:autoSpaceDN w:val="0"/>
              <w:adjustRightInd w:val="0"/>
              <w:spacing w:after="0" w:line="240" w:lineRule="auto"/>
              <w:rPr>
                <w:rFonts w:cstheme="minorHAnsi"/>
                <w:b/>
                <w:bCs/>
                <w:sz w:val="20"/>
                <w:szCs w:val="20"/>
              </w:rPr>
            </w:pPr>
            <w:r w:rsidRPr="001941B0">
              <w:rPr>
                <w:rFonts w:cstheme="minorHAnsi"/>
                <w:b/>
                <w:sz w:val="20"/>
                <w:szCs w:val="20"/>
              </w:rPr>
              <w:lastRenderedPageBreak/>
              <w:t>Uwaga nieuwzględniona</w:t>
            </w:r>
          </w:p>
          <w:p w14:paraId="1FB58194" w14:textId="30B82688" w:rsidR="0063705A" w:rsidRPr="001941B0" w:rsidRDefault="00F033EA" w:rsidP="006E0CB2">
            <w:pPr>
              <w:autoSpaceDE w:val="0"/>
              <w:autoSpaceDN w:val="0"/>
              <w:adjustRightInd w:val="0"/>
              <w:spacing w:after="0" w:line="240" w:lineRule="auto"/>
              <w:rPr>
                <w:rFonts w:cstheme="minorHAnsi"/>
                <w:sz w:val="20"/>
                <w:szCs w:val="20"/>
              </w:rPr>
            </w:pPr>
            <w:r w:rsidRPr="001941B0">
              <w:rPr>
                <w:rFonts w:cstheme="minorHAnsi"/>
                <w:sz w:val="20"/>
                <w:szCs w:val="20"/>
              </w:rPr>
              <w:t>P</w:t>
            </w:r>
            <w:r w:rsidR="00112638" w:rsidRPr="001941B0">
              <w:rPr>
                <w:rFonts w:cstheme="minorHAnsi"/>
                <w:sz w:val="20"/>
                <w:szCs w:val="20"/>
              </w:rPr>
              <w:t xml:space="preserve">oza zakresem projektowanej </w:t>
            </w:r>
            <w:r w:rsidRPr="001941B0">
              <w:rPr>
                <w:rFonts w:cstheme="minorHAnsi"/>
                <w:sz w:val="20"/>
                <w:szCs w:val="20"/>
              </w:rPr>
              <w:t>regulacji.</w:t>
            </w:r>
          </w:p>
        </w:tc>
      </w:tr>
      <w:tr w:rsidR="00FC7212" w:rsidRPr="001941B0" w14:paraId="2D0B267F" w14:textId="77777777" w:rsidTr="7139DBB9">
        <w:tc>
          <w:tcPr>
            <w:tcW w:w="1125" w:type="dxa"/>
            <w:shd w:val="clear" w:color="auto" w:fill="FFFFFF" w:themeFill="background1"/>
          </w:tcPr>
          <w:p w14:paraId="4D676365" w14:textId="77777777" w:rsidR="00D1132B" w:rsidRPr="001941B0" w:rsidRDefault="00D1132B"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25CFE40" w14:textId="32B77F70" w:rsidR="00D1132B" w:rsidRPr="001941B0" w:rsidRDefault="00475A1F" w:rsidP="006E0CB2">
            <w:pPr>
              <w:autoSpaceDE w:val="0"/>
              <w:autoSpaceDN w:val="0"/>
              <w:adjustRightInd w:val="0"/>
              <w:spacing w:after="0" w:line="240" w:lineRule="auto"/>
              <w:rPr>
                <w:rFonts w:cs="Calibri"/>
                <w:bCs/>
                <w:sz w:val="20"/>
                <w:szCs w:val="20"/>
              </w:rPr>
            </w:pPr>
            <w:r w:rsidRPr="001941B0">
              <w:rPr>
                <w:rFonts w:cs="Calibri"/>
                <w:bCs/>
                <w:sz w:val="20"/>
                <w:szCs w:val="20"/>
              </w:rPr>
              <w:t>Lotnicze Pogotowie Ratunkowe</w:t>
            </w:r>
          </w:p>
        </w:tc>
        <w:tc>
          <w:tcPr>
            <w:tcW w:w="1949" w:type="dxa"/>
            <w:shd w:val="clear" w:color="auto" w:fill="FFFFFF" w:themeFill="background1"/>
          </w:tcPr>
          <w:p w14:paraId="6D8DDB25" w14:textId="77777777" w:rsidR="00D1132B" w:rsidRPr="001941B0" w:rsidRDefault="00502791" w:rsidP="006E0CB2">
            <w:pPr>
              <w:autoSpaceDE w:val="0"/>
              <w:autoSpaceDN w:val="0"/>
              <w:adjustRightInd w:val="0"/>
              <w:spacing w:after="0" w:line="240" w:lineRule="auto"/>
              <w:rPr>
                <w:rFonts w:cs="Calibri"/>
                <w:sz w:val="20"/>
                <w:szCs w:val="20"/>
              </w:rPr>
            </w:pPr>
            <w:r w:rsidRPr="001941B0">
              <w:rPr>
                <w:rFonts w:cs="Calibri"/>
                <w:sz w:val="20"/>
                <w:szCs w:val="20"/>
              </w:rPr>
              <w:t>Art. 4 pkt 3</w:t>
            </w:r>
          </w:p>
          <w:p w14:paraId="5565FFC2" w14:textId="77777777" w:rsidR="001D5B11" w:rsidRPr="001941B0" w:rsidRDefault="001D5B11" w:rsidP="006E0CB2">
            <w:pPr>
              <w:autoSpaceDE w:val="0"/>
              <w:autoSpaceDN w:val="0"/>
              <w:adjustRightInd w:val="0"/>
              <w:spacing w:after="0" w:line="240" w:lineRule="auto"/>
              <w:rPr>
                <w:rFonts w:cs="Calibri"/>
                <w:sz w:val="20"/>
                <w:szCs w:val="20"/>
              </w:rPr>
            </w:pPr>
          </w:p>
          <w:p w14:paraId="14928796" w14:textId="6A100524" w:rsidR="00D1132B" w:rsidRPr="001941B0" w:rsidRDefault="00D1132B"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4C7ED537" w14:textId="15EB7C45" w:rsidR="00A74BC6" w:rsidRPr="001941B0" w:rsidRDefault="009130BA"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Treść komentowanego przepisu</w:t>
            </w:r>
          </w:p>
          <w:p w14:paraId="64969FA5" w14:textId="77777777" w:rsidR="0078780E" w:rsidRPr="001941B0" w:rsidRDefault="0078780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po art. 30a dodaje się art. 30b w brzmieniu:</w:t>
            </w:r>
          </w:p>
          <w:p w14:paraId="0177725C" w14:textId="77777777" w:rsidR="0078780E" w:rsidRPr="001941B0" w:rsidRDefault="0078780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„Art. 30b. 1. Karta pacjenta jest dokumentem obejmującym dane osobowe i podstawowe jednostkowe dane medyczne o pacjencie dostępne w Systemie Informacji Medycznej, o którym mowa w art. 10 ust. 1 ustawy z dnia 28 kwietnia 2011 r. o systemie informacji w ochronie zdrowia.</w:t>
            </w:r>
          </w:p>
          <w:p w14:paraId="5E01EE5B" w14:textId="52915207" w:rsidR="009130BA" w:rsidRPr="001941B0" w:rsidRDefault="0078780E"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2. Karta, o której mowa w ust. 1, jest generowana przez system, o którym mowa w ust. 1, na żądanie pracownika medycznego uprawnionego do dostępu do danych pacjenta zgodnie z zasadami określonymi w art. 35 ustawy z dnia 28 kwietnia 2011 r. o systemie informacji w ochronie zdrowia(…)”.</w:t>
            </w:r>
          </w:p>
          <w:p w14:paraId="113FEB37" w14:textId="04084655" w:rsidR="00A74BC6" w:rsidRPr="001941B0" w:rsidRDefault="00A74BC6" w:rsidP="006E0CB2">
            <w:pPr>
              <w:autoSpaceDE w:val="0"/>
              <w:autoSpaceDN w:val="0"/>
              <w:adjustRightInd w:val="0"/>
              <w:spacing w:after="0" w:line="240" w:lineRule="auto"/>
              <w:rPr>
                <w:rFonts w:eastAsiaTheme="minorEastAsia"/>
                <w:bCs/>
                <w:sz w:val="20"/>
                <w:szCs w:val="20"/>
              </w:rPr>
            </w:pPr>
            <w:r w:rsidRPr="001941B0">
              <w:rPr>
                <w:rFonts w:eastAsiaTheme="minorEastAsia"/>
                <w:b/>
                <w:bCs/>
                <w:sz w:val="20"/>
                <w:szCs w:val="20"/>
              </w:rPr>
              <w:t>Treść uwagi</w:t>
            </w:r>
          </w:p>
          <w:p w14:paraId="54685105" w14:textId="21A575D2" w:rsidR="00D1132B" w:rsidRPr="001941B0" w:rsidRDefault="002D077E" w:rsidP="006E0CB2">
            <w:pPr>
              <w:autoSpaceDE w:val="0"/>
              <w:autoSpaceDN w:val="0"/>
              <w:adjustRightInd w:val="0"/>
              <w:spacing w:after="0" w:line="240" w:lineRule="auto"/>
              <w:rPr>
                <w:rFonts w:eastAsiaTheme="minorEastAsia"/>
                <w:sz w:val="20"/>
                <w:szCs w:val="20"/>
              </w:rPr>
            </w:pPr>
            <w:r w:rsidRPr="001941B0">
              <w:rPr>
                <w:rFonts w:eastAsiaTheme="minorEastAsia"/>
                <w:bCs/>
                <w:sz w:val="20"/>
                <w:szCs w:val="20"/>
              </w:rPr>
              <w:t xml:space="preserve">W obszarze zmian związanych z wprowadzeniem nowego rodzaju EDM - karty pacjenta, zasadnym wydaje się być zgłoszenie uwagi, dotyczącej zapewnienia jakiejś formy integracji tego rozwiązania z SWD PRM. Projekt zakłada generowanie tego dokumentu przez SIM, natomiast potrzeba </w:t>
            </w:r>
            <w:r w:rsidRPr="001941B0">
              <w:rPr>
                <w:rFonts w:eastAsiaTheme="minorEastAsia"/>
                <w:bCs/>
                <w:sz w:val="20"/>
                <w:szCs w:val="20"/>
              </w:rPr>
              <w:lastRenderedPageBreak/>
              <w:t>pozyskania tego dokumentu zgodnie z projektem może zaistnieć m.in. w przypadku procedury ratowania życia, w ramach której podstawowym narzędziem teleinformatycznym wykorzystywanym przez personel medyczny jest SWD PRM. Powstaje pytanie o zasadność uwzględnienia w proponowanych przepisach możliwości dostępu do karty pacjenta przez ZRM za wykorzystaniem tabletu z dostępem do SWD PRM.</w:t>
            </w:r>
          </w:p>
        </w:tc>
        <w:tc>
          <w:tcPr>
            <w:tcW w:w="2855" w:type="dxa"/>
            <w:shd w:val="clear" w:color="auto" w:fill="FFFFFF" w:themeFill="background1"/>
          </w:tcPr>
          <w:p w14:paraId="38FE7112" w14:textId="1859F967" w:rsidR="00F7192F" w:rsidRPr="001941B0" w:rsidRDefault="00C83E14"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78148E02" w14:textId="767C502B" w:rsidR="00C83E14" w:rsidRPr="001941B0" w:rsidRDefault="00BB4740"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SWD PRM </w:t>
            </w:r>
            <w:r w:rsidR="0031770F" w:rsidRPr="001941B0">
              <w:rPr>
                <w:rFonts w:cstheme="minorHAnsi"/>
                <w:sz w:val="20"/>
                <w:szCs w:val="20"/>
              </w:rPr>
              <w:t xml:space="preserve">będzie można zintegrować </w:t>
            </w:r>
            <w:r w:rsidR="00183AB4" w:rsidRPr="001941B0">
              <w:rPr>
                <w:rFonts w:cstheme="minorHAnsi"/>
                <w:sz w:val="20"/>
                <w:szCs w:val="20"/>
              </w:rPr>
              <w:t>w zakresie karty pacjenta</w:t>
            </w:r>
            <w:r w:rsidR="00964ED5" w:rsidRPr="001941B0">
              <w:rPr>
                <w:rFonts w:cstheme="minorHAnsi"/>
                <w:sz w:val="20"/>
                <w:szCs w:val="20"/>
              </w:rPr>
              <w:t xml:space="preserve">, zgodnie z dokumentacją integracyjną </w:t>
            </w:r>
            <w:r w:rsidR="00BC2705" w:rsidRPr="001941B0">
              <w:rPr>
                <w:rFonts w:cstheme="minorHAnsi"/>
                <w:sz w:val="20"/>
                <w:szCs w:val="20"/>
              </w:rPr>
              <w:t xml:space="preserve">udostępnioną przez </w:t>
            </w:r>
            <w:r w:rsidR="00964ED5" w:rsidRPr="001941B0">
              <w:rPr>
                <w:rFonts w:cstheme="minorHAnsi"/>
                <w:sz w:val="20"/>
                <w:szCs w:val="20"/>
              </w:rPr>
              <w:t>CeZ.</w:t>
            </w:r>
          </w:p>
          <w:p w14:paraId="43FC0506" w14:textId="778B95AE" w:rsidR="00D64114" w:rsidRPr="001941B0" w:rsidRDefault="00D64114" w:rsidP="006E0CB2">
            <w:pPr>
              <w:autoSpaceDE w:val="0"/>
              <w:autoSpaceDN w:val="0"/>
              <w:adjustRightInd w:val="0"/>
              <w:spacing w:after="0" w:line="240" w:lineRule="auto"/>
              <w:rPr>
                <w:rFonts w:cstheme="minorHAnsi"/>
                <w:sz w:val="20"/>
                <w:szCs w:val="20"/>
              </w:rPr>
            </w:pPr>
            <w:r w:rsidRPr="001941B0">
              <w:rPr>
                <w:rFonts w:cstheme="minorHAnsi"/>
                <w:sz w:val="20"/>
                <w:szCs w:val="20"/>
              </w:rPr>
              <w:t>Dostęp do danych odbywa się na podstawie art. 35 ustawy o s</w:t>
            </w:r>
            <w:r w:rsidR="00BC2705" w:rsidRPr="001941B0">
              <w:rPr>
                <w:rFonts w:cstheme="minorHAnsi"/>
                <w:sz w:val="20"/>
                <w:szCs w:val="20"/>
              </w:rPr>
              <w:t xml:space="preserve">ystemie </w:t>
            </w:r>
            <w:r w:rsidRPr="001941B0">
              <w:rPr>
                <w:rFonts w:cstheme="minorHAnsi"/>
                <w:sz w:val="20"/>
                <w:szCs w:val="20"/>
              </w:rPr>
              <w:t>i</w:t>
            </w:r>
            <w:r w:rsidR="00BC2705" w:rsidRPr="001941B0">
              <w:rPr>
                <w:rFonts w:cstheme="minorHAnsi"/>
                <w:sz w:val="20"/>
                <w:szCs w:val="20"/>
              </w:rPr>
              <w:t xml:space="preserve">nformacji w </w:t>
            </w:r>
            <w:r w:rsidRPr="001941B0">
              <w:rPr>
                <w:rFonts w:cstheme="minorHAnsi"/>
                <w:sz w:val="20"/>
                <w:szCs w:val="20"/>
              </w:rPr>
              <w:t>o</w:t>
            </w:r>
            <w:r w:rsidR="00BC2705" w:rsidRPr="001941B0">
              <w:rPr>
                <w:rFonts w:cstheme="minorHAnsi"/>
                <w:sz w:val="20"/>
                <w:szCs w:val="20"/>
              </w:rPr>
              <w:t xml:space="preserve">chronie </w:t>
            </w:r>
            <w:r w:rsidRPr="001941B0">
              <w:rPr>
                <w:rFonts w:cstheme="minorHAnsi"/>
                <w:sz w:val="20"/>
                <w:szCs w:val="20"/>
              </w:rPr>
              <w:t>z</w:t>
            </w:r>
            <w:r w:rsidR="00BC2705" w:rsidRPr="001941B0">
              <w:rPr>
                <w:rFonts w:cstheme="minorHAnsi"/>
                <w:sz w:val="20"/>
                <w:szCs w:val="20"/>
              </w:rPr>
              <w:t>drowia</w:t>
            </w:r>
            <w:r w:rsidRPr="001941B0">
              <w:rPr>
                <w:rFonts w:cstheme="minorHAnsi"/>
                <w:sz w:val="20"/>
                <w:szCs w:val="20"/>
              </w:rPr>
              <w:t xml:space="preserve"> (tryb ratowania zdrowia lub za zgodą).</w:t>
            </w:r>
          </w:p>
          <w:p w14:paraId="40F90A41" w14:textId="70BC9499" w:rsidR="00D1132B" w:rsidRPr="001941B0" w:rsidRDefault="00D1132B" w:rsidP="006E0CB2">
            <w:pPr>
              <w:autoSpaceDE w:val="0"/>
              <w:autoSpaceDN w:val="0"/>
              <w:adjustRightInd w:val="0"/>
              <w:spacing w:after="0" w:line="240" w:lineRule="auto"/>
              <w:rPr>
                <w:rFonts w:cstheme="minorHAnsi"/>
                <w:sz w:val="20"/>
                <w:szCs w:val="20"/>
              </w:rPr>
            </w:pPr>
          </w:p>
        </w:tc>
      </w:tr>
      <w:tr w:rsidR="00FC7212" w:rsidRPr="001941B0" w14:paraId="30C147BC" w14:textId="77777777" w:rsidTr="7139DBB9">
        <w:tc>
          <w:tcPr>
            <w:tcW w:w="1125" w:type="dxa"/>
            <w:shd w:val="clear" w:color="auto" w:fill="FFFFFF" w:themeFill="background1"/>
          </w:tcPr>
          <w:p w14:paraId="4CC51A04"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083D9AE" w14:textId="4637BF22"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Radiologii i diagnostyki obrazowej</w:t>
            </w:r>
          </w:p>
        </w:tc>
        <w:tc>
          <w:tcPr>
            <w:tcW w:w="1949" w:type="dxa"/>
            <w:shd w:val="clear" w:color="auto" w:fill="FFFFFF" w:themeFill="background1"/>
          </w:tcPr>
          <w:p w14:paraId="521B45DF"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Art. 4 </w:t>
            </w:r>
          </w:p>
          <w:p w14:paraId="707C3AB0" w14:textId="77777777" w:rsidR="009C303F" w:rsidRPr="001941B0" w:rsidRDefault="009C303F" w:rsidP="006E0CB2">
            <w:pPr>
              <w:autoSpaceDE w:val="0"/>
              <w:autoSpaceDN w:val="0"/>
              <w:adjustRightInd w:val="0"/>
              <w:spacing w:after="0" w:line="240" w:lineRule="auto"/>
              <w:rPr>
                <w:rFonts w:cs="Calibri"/>
                <w:sz w:val="20"/>
                <w:szCs w:val="20"/>
              </w:rPr>
            </w:pPr>
          </w:p>
          <w:p w14:paraId="1D42B3F7" w14:textId="39CD20D6" w:rsidR="0063705A" w:rsidRPr="001941B0" w:rsidRDefault="0063705A"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096A3BBA"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Brak obowiązku zapewnienia nadzoru człowieka nad systemami AI (art. 14 AI Act). </w:t>
            </w:r>
            <w:r w:rsidRPr="001941B0">
              <w:rPr>
                <w:sz w:val="20"/>
                <w:szCs w:val="20"/>
              </w:rPr>
              <w:t xml:space="preserve"> A</w:t>
            </w:r>
            <w:r w:rsidRPr="001941B0">
              <w:rPr>
                <w:rFonts w:eastAsiaTheme="minorEastAsia"/>
                <w:sz w:val="20"/>
                <w:szCs w:val="20"/>
              </w:rPr>
              <w:t>rt. 4 projektu (dokumenty systemowe)</w:t>
            </w:r>
          </w:p>
          <w:p w14:paraId="4B81F5E8"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Projekt nie zapewnia:</w:t>
            </w:r>
          </w:p>
          <w:p w14:paraId="53C3ACFB"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formalnego nadzoru człowieka nad systemem,</w:t>
            </w:r>
          </w:p>
          <w:p w14:paraId="14D00203"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możliwości wyłączenia systemu,</w:t>
            </w:r>
          </w:p>
          <w:p w14:paraId="0AE9E4FD"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jasnej roli lekarza specj. radiologii i diagnostyki obrazowej lub lekarza w trakcie specjalizacji z radiologii i diagnostyki obrazowej jako podmiotu nadzorującego.</w:t>
            </w:r>
          </w:p>
          <w:p w14:paraId="4A0284B8" w14:textId="77777777" w:rsidR="0063705A" w:rsidRPr="001941B0" w:rsidRDefault="0063705A"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Propozycja: </w:t>
            </w:r>
            <w:r w:rsidRPr="001941B0">
              <w:rPr>
                <w:sz w:val="20"/>
                <w:szCs w:val="20"/>
              </w:rPr>
              <w:t xml:space="preserve"> </w:t>
            </w:r>
            <w:r w:rsidRPr="001941B0">
              <w:rPr>
                <w:rFonts w:eastAsiaTheme="minorEastAsia"/>
                <w:sz w:val="20"/>
                <w:szCs w:val="20"/>
              </w:rPr>
              <w:t>Jasne określenie obowiązku nadzoru człowieka nad systemem, w tym roli lekarza radiologa jako podmiotu podejmującego ostateczną decyzję diagnostyczną, pozwoliłoby zachować przejrzystość procesu diagnostycznego i ograniczyć ryzyko niepewności prawnej po stronie personelu medycznego.</w:t>
            </w:r>
          </w:p>
          <w:p w14:paraId="22FED6B6" w14:textId="5DAA5345" w:rsidR="0063705A" w:rsidRPr="001941B0" w:rsidRDefault="0063705A" w:rsidP="006E0CB2">
            <w:pPr>
              <w:autoSpaceDE w:val="0"/>
              <w:autoSpaceDN w:val="0"/>
              <w:adjustRightInd w:val="0"/>
              <w:spacing w:after="0" w:line="240" w:lineRule="auto"/>
              <w:rPr>
                <w:rFonts w:cs="Calibri"/>
                <w:sz w:val="20"/>
                <w:szCs w:val="20"/>
              </w:rPr>
            </w:pPr>
            <w:r w:rsidRPr="001941B0">
              <w:rPr>
                <w:rFonts w:eastAsiaTheme="minorEastAsia"/>
                <w:sz w:val="20"/>
                <w:szCs w:val="20"/>
              </w:rPr>
              <w:t xml:space="preserve">Uzasadnienie: </w:t>
            </w:r>
            <w:r w:rsidRPr="001941B0">
              <w:rPr>
                <w:sz w:val="20"/>
                <w:szCs w:val="20"/>
              </w:rPr>
              <w:t xml:space="preserve"> </w:t>
            </w:r>
            <w:r w:rsidRPr="001941B0">
              <w:rPr>
                <w:rFonts w:eastAsiaTheme="minorEastAsia"/>
                <w:sz w:val="20"/>
                <w:szCs w:val="20"/>
              </w:rPr>
              <w:t>Projekt ustawy nie określa jednoznacznie zasad nadzoru człowieka nad działaniem automatycznych systemów. W szczególności nie wskazano, czy wyniki generowane przez system AI muszą być każdorazowo weryfikowane przez lekarza specj. radiologii i diagnostyki obrazowej lub lekarza w trakcie specjalizacji z radiologii i diagnostyki obrazowej, czy możliwe jest wyłączenie systemu w sytuacji jego nieprawidłowego działania oraz jaka jest formalna rola lekarza radiologa w procesie nadzorowania pracy algorytmu.</w:t>
            </w:r>
          </w:p>
        </w:tc>
        <w:tc>
          <w:tcPr>
            <w:tcW w:w="2855" w:type="dxa"/>
            <w:shd w:val="clear" w:color="auto" w:fill="FFFFFF" w:themeFill="background1"/>
          </w:tcPr>
          <w:p w14:paraId="37E1DB2D" w14:textId="77777777" w:rsidR="0063705A" w:rsidRPr="001941B0" w:rsidRDefault="00212F1F" w:rsidP="006E0CB2">
            <w:pPr>
              <w:autoSpaceDE w:val="0"/>
              <w:autoSpaceDN w:val="0"/>
              <w:adjustRightInd w:val="0"/>
              <w:spacing w:after="0" w:line="240" w:lineRule="auto"/>
              <w:rPr>
                <w:rFonts w:cstheme="minorHAnsi"/>
                <w:b/>
                <w:bCs/>
                <w:sz w:val="20"/>
                <w:szCs w:val="20"/>
              </w:rPr>
            </w:pPr>
            <w:r w:rsidRPr="001941B0">
              <w:rPr>
                <w:rFonts w:cstheme="minorHAnsi"/>
                <w:b/>
                <w:bCs/>
                <w:sz w:val="20"/>
                <w:szCs w:val="20"/>
              </w:rPr>
              <w:t>Wyjaśnienie</w:t>
            </w:r>
          </w:p>
          <w:p w14:paraId="6EA20CE2" w14:textId="77777777" w:rsidR="00EE2474" w:rsidRPr="001941B0" w:rsidRDefault="00EE2474" w:rsidP="00EE2474">
            <w:pPr>
              <w:autoSpaceDE w:val="0"/>
              <w:autoSpaceDN w:val="0"/>
              <w:adjustRightInd w:val="0"/>
              <w:spacing w:after="0" w:line="240" w:lineRule="auto"/>
              <w:rPr>
                <w:rFonts w:eastAsiaTheme="minorEastAsia"/>
                <w:sz w:val="20"/>
                <w:szCs w:val="20"/>
              </w:rPr>
            </w:pPr>
            <w:r w:rsidRPr="001941B0">
              <w:rPr>
                <w:rFonts w:eastAsiaTheme="minorEastAsia"/>
                <w:sz w:val="20"/>
                <w:szCs w:val="20"/>
              </w:rPr>
              <w:t>Odpowiedzialność wynika z ogólnych zasad dotyczących prawa wykonywania zawodu lekarza – lekarz bazując na aktualnej wiedzy medycznej odpowiada za proces diagnostyki i leczenia.</w:t>
            </w:r>
          </w:p>
          <w:p w14:paraId="59D53B80" w14:textId="77777777" w:rsidR="00EE2474" w:rsidRPr="001941B0" w:rsidRDefault="00EE2474" w:rsidP="00EE2474">
            <w:pPr>
              <w:autoSpaceDE w:val="0"/>
              <w:autoSpaceDN w:val="0"/>
              <w:adjustRightInd w:val="0"/>
              <w:spacing w:after="0" w:line="240" w:lineRule="auto"/>
              <w:rPr>
                <w:rFonts w:eastAsiaTheme="minorEastAsia"/>
                <w:sz w:val="20"/>
                <w:szCs w:val="20"/>
              </w:rPr>
            </w:pPr>
            <w:r w:rsidRPr="001941B0">
              <w:rPr>
                <w:rFonts w:eastAsiaTheme="minorEastAsia"/>
                <w:sz w:val="20"/>
                <w:szCs w:val="20"/>
              </w:rPr>
              <w:t>Kwestia uregulowania odpowiedzialności za korzystanie z systemów AI jest poza zakresem projektowanych regulacji.</w:t>
            </w:r>
          </w:p>
          <w:p w14:paraId="257FBEA3" w14:textId="64589203" w:rsidR="0063705A" w:rsidRPr="001941B0" w:rsidRDefault="00EE2474" w:rsidP="006E0CB2">
            <w:pPr>
              <w:autoSpaceDE w:val="0"/>
              <w:autoSpaceDN w:val="0"/>
              <w:adjustRightInd w:val="0"/>
              <w:spacing w:after="0" w:line="240" w:lineRule="auto"/>
              <w:rPr>
                <w:rFonts w:cstheme="minorHAnsi"/>
                <w:b/>
                <w:sz w:val="20"/>
                <w:szCs w:val="20"/>
              </w:rPr>
            </w:pPr>
            <w:r w:rsidRPr="001941B0">
              <w:rPr>
                <w:rFonts w:eastAsiaTheme="minorEastAsia"/>
                <w:sz w:val="20"/>
                <w:szCs w:val="20"/>
              </w:rPr>
              <w:t>Projekt nie przewiduje możliwości zatwierdzania opisów badań obrazowych bez udziału lekarza – ostatecznie powstaje dokumentacja elektroniczna podpisana przez lekarza.</w:t>
            </w:r>
          </w:p>
        </w:tc>
      </w:tr>
      <w:tr w:rsidR="00FC7212" w:rsidRPr="001941B0" w14:paraId="40A72B53" w14:textId="77777777" w:rsidTr="7139DBB9">
        <w:tc>
          <w:tcPr>
            <w:tcW w:w="1125" w:type="dxa"/>
            <w:shd w:val="clear" w:color="auto" w:fill="FFFFFF" w:themeFill="background1"/>
          </w:tcPr>
          <w:p w14:paraId="01E9CCF2"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16804A2" w14:textId="5BEAC2B9"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Radiologii i diagnostyki obrazowej</w:t>
            </w:r>
          </w:p>
        </w:tc>
        <w:tc>
          <w:tcPr>
            <w:tcW w:w="1949" w:type="dxa"/>
            <w:shd w:val="clear" w:color="auto" w:fill="FFFFFF" w:themeFill="background1"/>
          </w:tcPr>
          <w:p w14:paraId="566469EF"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 4</w:t>
            </w:r>
          </w:p>
          <w:p w14:paraId="0E866E7C" w14:textId="45716013" w:rsidR="0063705A" w:rsidRPr="001941B0" w:rsidRDefault="0063705A"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7C033218" w14:textId="27572A26"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Niejasny status prawny raportów generowanych przez systemy AI. </w:t>
            </w:r>
            <w:r w:rsidRPr="001941B0">
              <w:rPr>
                <w:sz w:val="20"/>
                <w:szCs w:val="20"/>
              </w:rPr>
              <w:t xml:space="preserve"> </w:t>
            </w:r>
            <w:r w:rsidRPr="001941B0">
              <w:rPr>
                <w:rFonts w:cs="Calibri"/>
                <w:sz w:val="20"/>
                <w:szCs w:val="20"/>
              </w:rPr>
              <w:t>Art. 4 projektu - karta pacjenta i dokumenty systemowe.</w:t>
            </w:r>
          </w:p>
          <w:p w14:paraId="21A5B6DC"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Nie określono:</w:t>
            </w:r>
          </w:p>
          <w:p w14:paraId="6D64DE60"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lastRenderedPageBreak/>
              <w:t>- czy raport generowany przez system stanowi dokumentację medyczną,</w:t>
            </w:r>
          </w:p>
          <w:p w14:paraId="51B3FB84"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kto odpowiada za jego treść,</w:t>
            </w:r>
          </w:p>
          <w:p w14:paraId="3F855346"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jak długo podlega przechowywaniu.</w:t>
            </w:r>
          </w:p>
          <w:p w14:paraId="23C97792" w14:textId="3F2FDDAD"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Propozycja: Raporty i analizy generowane przez systemy teleinformatyczne stanowią część dokumentacji medycznej po ich autoryzacji przez osobę wykonującą zawód medyczny. </w:t>
            </w:r>
          </w:p>
          <w:p w14:paraId="564934ED" w14:textId="0CF59FF5"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Uzasadnienie:  Nie wskazano, czy raport wygenerowany przez system analityczny lub narzędzie sztucznej inteligencji stanowi element dokumentacji medycznej, czy ma jedynie charakter pomocniczy.</w:t>
            </w:r>
          </w:p>
        </w:tc>
        <w:tc>
          <w:tcPr>
            <w:tcW w:w="2855" w:type="dxa"/>
            <w:shd w:val="clear" w:color="auto" w:fill="FFFFFF" w:themeFill="background1"/>
          </w:tcPr>
          <w:p w14:paraId="49D46E03" w14:textId="665F68D2" w:rsidR="00C36D23" w:rsidRPr="001941B0" w:rsidRDefault="00FF635A"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6386BA16" w14:textId="77777777" w:rsidR="0063705A" w:rsidRPr="001941B0" w:rsidRDefault="3435FC25" w:rsidP="384C731A">
            <w:pPr>
              <w:autoSpaceDE w:val="0"/>
              <w:autoSpaceDN w:val="0"/>
              <w:adjustRightInd w:val="0"/>
              <w:spacing w:after="0" w:line="240" w:lineRule="auto"/>
              <w:rPr>
                <w:sz w:val="20"/>
                <w:szCs w:val="20"/>
              </w:rPr>
            </w:pPr>
            <w:r w:rsidRPr="001941B0">
              <w:rPr>
                <w:sz w:val="20"/>
                <w:szCs w:val="20"/>
              </w:rPr>
              <w:t>Karta pacjenta będzie EDM</w:t>
            </w:r>
          </w:p>
          <w:p w14:paraId="0225299E" w14:textId="088A807D" w:rsidR="00C96E57" w:rsidRPr="001941B0" w:rsidRDefault="5062472C" w:rsidP="384C731A">
            <w:pPr>
              <w:autoSpaceDE w:val="0"/>
              <w:autoSpaceDN w:val="0"/>
              <w:adjustRightInd w:val="0"/>
              <w:spacing w:after="0" w:line="240" w:lineRule="auto"/>
              <w:rPr>
                <w:sz w:val="20"/>
                <w:szCs w:val="20"/>
              </w:rPr>
            </w:pPr>
            <w:r w:rsidRPr="001941B0">
              <w:rPr>
                <w:sz w:val="20"/>
                <w:szCs w:val="20"/>
              </w:rPr>
              <w:lastRenderedPageBreak/>
              <w:t>Karta będzie zawierała dane pozwalające na identyfikację okresów wyświetlanych informacji pochodzących z systemu SIM.</w:t>
            </w:r>
          </w:p>
          <w:p w14:paraId="60733AA3" w14:textId="5F67F442" w:rsidR="0083060C" w:rsidRPr="001941B0" w:rsidRDefault="0083060C" w:rsidP="384C731A">
            <w:pPr>
              <w:autoSpaceDE w:val="0"/>
              <w:autoSpaceDN w:val="0"/>
              <w:adjustRightInd w:val="0"/>
              <w:spacing w:after="0" w:line="240" w:lineRule="auto"/>
              <w:rPr>
                <w:sz w:val="20"/>
                <w:szCs w:val="20"/>
              </w:rPr>
            </w:pPr>
            <w:r w:rsidRPr="001941B0">
              <w:rPr>
                <w:sz w:val="20"/>
                <w:szCs w:val="20"/>
              </w:rPr>
              <w:t>Karta nie będzie generowana przez system AI.</w:t>
            </w:r>
          </w:p>
          <w:p w14:paraId="02920E4F" w14:textId="77777777" w:rsidR="00CB3D52" w:rsidRPr="001941B0" w:rsidRDefault="00CB3D52" w:rsidP="006E0CB2">
            <w:pPr>
              <w:autoSpaceDE w:val="0"/>
              <w:autoSpaceDN w:val="0"/>
              <w:adjustRightInd w:val="0"/>
              <w:spacing w:after="0" w:line="240" w:lineRule="auto"/>
              <w:rPr>
                <w:rFonts w:cstheme="minorHAnsi"/>
                <w:sz w:val="20"/>
                <w:szCs w:val="20"/>
              </w:rPr>
            </w:pPr>
          </w:p>
          <w:p w14:paraId="5180436A" w14:textId="374BD008" w:rsidR="0063705A" w:rsidRPr="001941B0" w:rsidRDefault="0063705A" w:rsidP="006E0CB2">
            <w:pPr>
              <w:autoSpaceDE w:val="0"/>
              <w:autoSpaceDN w:val="0"/>
              <w:adjustRightInd w:val="0"/>
              <w:spacing w:after="0" w:line="240" w:lineRule="auto"/>
              <w:rPr>
                <w:rFonts w:cstheme="minorHAnsi"/>
                <w:sz w:val="20"/>
                <w:szCs w:val="20"/>
              </w:rPr>
            </w:pPr>
          </w:p>
        </w:tc>
      </w:tr>
      <w:tr w:rsidR="00FC7212" w:rsidRPr="001941B0" w14:paraId="0DC59587" w14:textId="77777777" w:rsidTr="7139DBB9">
        <w:trPr>
          <w:trHeight w:val="8025"/>
        </w:trPr>
        <w:tc>
          <w:tcPr>
            <w:tcW w:w="1125" w:type="dxa"/>
            <w:shd w:val="clear" w:color="auto" w:fill="FFFFFF" w:themeFill="background1"/>
          </w:tcPr>
          <w:p w14:paraId="15FBFEBB"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F6813F0" w14:textId="398932C4"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Radiologii i diagnostyki obrazowej</w:t>
            </w:r>
          </w:p>
        </w:tc>
        <w:tc>
          <w:tcPr>
            <w:tcW w:w="1949" w:type="dxa"/>
            <w:shd w:val="clear" w:color="auto" w:fill="FFFFFF" w:themeFill="background1"/>
          </w:tcPr>
          <w:p w14:paraId="51CCBFFE"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 4</w:t>
            </w:r>
          </w:p>
          <w:p w14:paraId="70E2CE41" w14:textId="77777777" w:rsidR="009F0CE4" w:rsidRPr="001941B0" w:rsidRDefault="009F0CE4" w:rsidP="006E0CB2">
            <w:pPr>
              <w:autoSpaceDE w:val="0"/>
              <w:autoSpaceDN w:val="0"/>
              <w:adjustRightInd w:val="0"/>
              <w:spacing w:after="0" w:line="240" w:lineRule="auto"/>
              <w:rPr>
                <w:rFonts w:cs="Calibri"/>
                <w:sz w:val="20"/>
                <w:szCs w:val="20"/>
              </w:rPr>
            </w:pPr>
          </w:p>
          <w:p w14:paraId="56D1CD61" w14:textId="4FFEDE5E" w:rsidR="0063705A" w:rsidRPr="001941B0" w:rsidRDefault="0063705A"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8371C51" w14:textId="0B4745C8"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Brak określenia odpowiedzialności za wykorzystanie AI w diagnostyce obrazowej. </w:t>
            </w:r>
            <w:r w:rsidRPr="001941B0">
              <w:rPr>
                <w:sz w:val="20"/>
                <w:szCs w:val="20"/>
              </w:rPr>
              <w:t xml:space="preserve"> </w:t>
            </w:r>
            <w:r w:rsidRPr="001941B0">
              <w:rPr>
                <w:rFonts w:cs="Calibri"/>
                <w:sz w:val="20"/>
                <w:szCs w:val="20"/>
              </w:rPr>
              <w:t>● art. 4 projektu (dokumentacja medyczna i dane systemowe),</w:t>
            </w:r>
          </w:p>
          <w:p w14:paraId="654607C5"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przepisy nowelizujące ustawę o systemie informacji w ochronie zdrowia,</w:t>
            </w:r>
          </w:p>
          <w:p w14:paraId="4AA5012F"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art. 1 projektu (rozszerzenie dostępu do EDM).</w:t>
            </w:r>
          </w:p>
          <w:p w14:paraId="372B4224"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Uwagi:</w:t>
            </w:r>
          </w:p>
          <w:p w14:paraId="11951F4B"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Projekt umożliwia wykorzystanie systemów analitycznych w diagnostyce obrazowej (radiologia, TK, RTG, mammografia). Nie określono jednak odpowiedzialności za błędną interpretację wygenerowaną przez system, a także relacji odpowiedzialności pomiędzy lekarzem radiologiem, lekarzem zlecającym badanie, operatorem systemu a dostawcą narzędzia AI.</w:t>
            </w:r>
          </w:p>
          <w:p w14:paraId="450E9B5B"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W praktyce klinicznej radiolog jest osobą sporządzającą opis badania i ponoszącą odpowiedzialność za jego treść. Wprowadzenie systemów AI bez określenia zakresu odpowiedzialności radiologa może prowadzić do nieproporcjonalnego obciążenia odpowiedzialnością zawodową.</w:t>
            </w:r>
          </w:p>
          <w:p w14:paraId="71F75789" w14:textId="77777777"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Propozycja: </w:t>
            </w:r>
            <w:r w:rsidRPr="001941B0">
              <w:rPr>
                <w:sz w:val="20"/>
                <w:szCs w:val="20"/>
              </w:rPr>
              <w:t xml:space="preserve"> </w:t>
            </w:r>
            <w:r w:rsidRPr="001941B0">
              <w:rPr>
                <w:rFonts w:cs="Calibri"/>
                <w:sz w:val="20"/>
                <w:szCs w:val="20"/>
              </w:rPr>
              <w:t>W przypadku wykorzystania systemów analitycznych lub sztucznej inteligencji w diagnostyce obrazowej system ma charakter wspomagający pracę lekarza radiologa. Ostateczny opis badania wymaga autoryzacji lekarza specj. radiologii i diagnostyki obrazowej lub lekarza w trakcie specjalizacji z radiologii i diagnostyki obrazowej, który dokonuje oceny wyniku z uwzględnieniem wskazań aktualnej wiedzy medycznej.</w:t>
            </w:r>
          </w:p>
          <w:p w14:paraId="49C0F15B" w14:textId="43D38B16"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 xml:space="preserve">Uzasadnienie: </w:t>
            </w:r>
            <w:r w:rsidRPr="001941B0">
              <w:rPr>
                <w:sz w:val="20"/>
                <w:szCs w:val="20"/>
              </w:rPr>
              <w:t xml:space="preserve"> </w:t>
            </w:r>
            <w:r w:rsidRPr="001941B0">
              <w:rPr>
                <w:rFonts w:cs="Calibri"/>
                <w:sz w:val="20"/>
                <w:szCs w:val="20"/>
              </w:rPr>
              <w:t>Nie określono, kto odpowiada za błąd systemu. Nie ma kontroli wyników analiz. W przypadku diagnostyki obrazowej wynik zawsze powinien być weryfikowany przez radiologa.</w:t>
            </w:r>
          </w:p>
        </w:tc>
        <w:tc>
          <w:tcPr>
            <w:tcW w:w="2855" w:type="dxa"/>
            <w:shd w:val="clear" w:color="auto" w:fill="FFFFFF" w:themeFill="background1"/>
          </w:tcPr>
          <w:p w14:paraId="4E354C8D" w14:textId="77777777" w:rsidR="00EE2474" w:rsidRPr="001941B0" w:rsidRDefault="00EE2474" w:rsidP="00EE2474">
            <w:pPr>
              <w:autoSpaceDE w:val="0"/>
              <w:autoSpaceDN w:val="0"/>
              <w:adjustRightInd w:val="0"/>
              <w:spacing w:after="0" w:line="240" w:lineRule="auto"/>
              <w:rPr>
                <w:rFonts w:cstheme="minorHAnsi"/>
                <w:b/>
                <w:bCs/>
                <w:sz w:val="20"/>
                <w:szCs w:val="20"/>
              </w:rPr>
            </w:pPr>
            <w:r w:rsidRPr="001941B0">
              <w:rPr>
                <w:rFonts w:cstheme="minorHAnsi"/>
                <w:b/>
                <w:bCs/>
                <w:sz w:val="20"/>
                <w:szCs w:val="20"/>
              </w:rPr>
              <w:t>Wyjaśnienie</w:t>
            </w:r>
          </w:p>
          <w:p w14:paraId="6DC698EF" w14:textId="77777777" w:rsidR="00EE2474" w:rsidRPr="001941B0" w:rsidRDefault="00EE2474" w:rsidP="00EE2474">
            <w:pPr>
              <w:autoSpaceDE w:val="0"/>
              <w:autoSpaceDN w:val="0"/>
              <w:adjustRightInd w:val="0"/>
              <w:spacing w:after="0" w:line="240" w:lineRule="auto"/>
              <w:rPr>
                <w:rFonts w:eastAsiaTheme="minorEastAsia"/>
                <w:sz w:val="20"/>
                <w:szCs w:val="20"/>
              </w:rPr>
            </w:pPr>
            <w:r w:rsidRPr="001941B0">
              <w:rPr>
                <w:rFonts w:eastAsiaTheme="minorEastAsia"/>
                <w:sz w:val="20"/>
                <w:szCs w:val="20"/>
              </w:rPr>
              <w:t>Odpowiedzialność wynika z ogólnych zasad dotyczących prawa wykonywania zawodu lekarza – lekarz bazując na aktualnej wiedzy medycznej odpowiada za proces diagnostyki i leczenia.</w:t>
            </w:r>
          </w:p>
          <w:p w14:paraId="76E5EF40" w14:textId="77777777" w:rsidR="00EE2474" w:rsidRPr="001941B0" w:rsidRDefault="00EE2474" w:rsidP="00EE2474">
            <w:pPr>
              <w:autoSpaceDE w:val="0"/>
              <w:autoSpaceDN w:val="0"/>
              <w:adjustRightInd w:val="0"/>
              <w:spacing w:after="0" w:line="240" w:lineRule="auto"/>
              <w:rPr>
                <w:rFonts w:eastAsiaTheme="minorEastAsia"/>
                <w:sz w:val="20"/>
                <w:szCs w:val="20"/>
              </w:rPr>
            </w:pPr>
            <w:r w:rsidRPr="001941B0">
              <w:rPr>
                <w:rFonts w:eastAsiaTheme="minorEastAsia"/>
                <w:sz w:val="20"/>
                <w:szCs w:val="20"/>
              </w:rPr>
              <w:t>Kwestia uregulowania odpowiedzialności za korzystanie z systemów AI jest poza zakresem projektowanych regulacji.</w:t>
            </w:r>
          </w:p>
          <w:p w14:paraId="09F81836" w14:textId="6E184FC6" w:rsidR="0063705A" w:rsidRPr="001941B0" w:rsidRDefault="00EE2474" w:rsidP="006E0CB2">
            <w:pPr>
              <w:autoSpaceDE w:val="0"/>
              <w:autoSpaceDN w:val="0"/>
              <w:adjustRightInd w:val="0"/>
              <w:spacing w:after="0" w:line="240" w:lineRule="auto"/>
              <w:rPr>
                <w:rFonts w:cstheme="minorHAnsi"/>
                <w:sz w:val="20"/>
                <w:szCs w:val="20"/>
              </w:rPr>
            </w:pPr>
            <w:r w:rsidRPr="001941B0">
              <w:rPr>
                <w:rFonts w:eastAsiaTheme="minorEastAsia"/>
                <w:sz w:val="20"/>
                <w:szCs w:val="20"/>
              </w:rPr>
              <w:t>Projekt nie przewiduje możliwości zatwierdzania opisów badań obrazowych bez udziału lekarza – ostatecznie powstaje dokumentacja elektroniczna podpisana przez lekarza.</w:t>
            </w:r>
          </w:p>
        </w:tc>
      </w:tr>
      <w:tr w:rsidR="00FC7212" w:rsidRPr="001941B0" w14:paraId="03554BCB" w14:textId="77777777" w:rsidTr="7139DBB9">
        <w:tc>
          <w:tcPr>
            <w:tcW w:w="1125" w:type="dxa"/>
            <w:shd w:val="clear" w:color="auto" w:fill="FFFFFF" w:themeFill="background1"/>
          </w:tcPr>
          <w:p w14:paraId="70062193"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642F3D2" w14:textId="103CDF71" w:rsidR="0063705A" w:rsidRPr="001941B0" w:rsidRDefault="0098132A" w:rsidP="006E0CB2">
            <w:pPr>
              <w:autoSpaceDE w:val="0"/>
              <w:autoSpaceDN w:val="0"/>
              <w:adjustRightInd w:val="0"/>
              <w:spacing w:after="0" w:line="240" w:lineRule="auto"/>
              <w:rPr>
                <w:rFonts w:cs="Calibri"/>
                <w:bCs/>
                <w:sz w:val="20"/>
                <w:szCs w:val="20"/>
              </w:rPr>
            </w:pPr>
            <w:r w:rsidRPr="001941B0">
              <w:rPr>
                <w:rFonts w:cs="Calibri"/>
                <w:bCs/>
                <w:sz w:val="20"/>
                <w:szCs w:val="20"/>
              </w:rPr>
              <w:t>Rzecznik Praw Pacjenta</w:t>
            </w:r>
          </w:p>
        </w:tc>
        <w:tc>
          <w:tcPr>
            <w:tcW w:w="1949" w:type="dxa"/>
            <w:shd w:val="clear" w:color="auto" w:fill="FFFFFF" w:themeFill="background1"/>
          </w:tcPr>
          <w:p w14:paraId="6A37779F" w14:textId="157D664E" w:rsidR="0063705A" w:rsidRPr="001941B0" w:rsidRDefault="00F86FEA" w:rsidP="006E0CB2">
            <w:pPr>
              <w:autoSpaceDE w:val="0"/>
              <w:autoSpaceDN w:val="0"/>
              <w:adjustRightInd w:val="0"/>
              <w:spacing w:after="0" w:line="240" w:lineRule="auto"/>
              <w:rPr>
                <w:rFonts w:cs="Calibri"/>
                <w:sz w:val="20"/>
                <w:szCs w:val="20"/>
              </w:rPr>
            </w:pPr>
            <w:r>
              <w:rPr>
                <w:rFonts w:cs="Calibri"/>
                <w:sz w:val="20"/>
                <w:szCs w:val="20"/>
              </w:rPr>
              <w:t>A</w:t>
            </w:r>
            <w:r w:rsidR="00826EE2" w:rsidRPr="001941B0">
              <w:rPr>
                <w:rFonts w:cs="Calibri"/>
                <w:sz w:val="20"/>
                <w:szCs w:val="20"/>
              </w:rPr>
              <w:t>rt. 4 pkt 3</w:t>
            </w:r>
          </w:p>
          <w:p w14:paraId="0D9A0A72" w14:textId="77777777" w:rsidR="004D519B" w:rsidRPr="001941B0" w:rsidRDefault="004D519B" w:rsidP="006E0CB2">
            <w:pPr>
              <w:autoSpaceDE w:val="0"/>
              <w:autoSpaceDN w:val="0"/>
              <w:adjustRightInd w:val="0"/>
              <w:spacing w:after="0" w:line="240" w:lineRule="auto"/>
              <w:rPr>
                <w:rFonts w:cs="Calibri"/>
                <w:sz w:val="20"/>
                <w:szCs w:val="20"/>
              </w:rPr>
            </w:pPr>
          </w:p>
          <w:p w14:paraId="41909D06" w14:textId="7FA59AEE" w:rsidR="0063705A" w:rsidRPr="001941B0" w:rsidRDefault="0063705A"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63E4D1EF" w14:textId="537B8720" w:rsidR="0063705A" w:rsidRPr="001941B0" w:rsidRDefault="00D30802" w:rsidP="006E0CB2">
            <w:pPr>
              <w:autoSpaceDE w:val="0"/>
              <w:autoSpaceDN w:val="0"/>
              <w:adjustRightInd w:val="0"/>
              <w:spacing w:after="0" w:line="240" w:lineRule="auto"/>
              <w:rPr>
                <w:rFonts w:cs="Calibri"/>
                <w:sz w:val="20"/>
                <w:szCs w:val="20"/>
              </w:rPr>
            </w:pPr>
            <w:r w:rsidRPr="001941B0">
              <w:rPr>
                <w:rFonts w:cs="Calibri"/>
                <w:sz w:val="20"/>
                <w:szCs w:val="20"/>
              </w:rPr>
              <w:t xml:space="preserve">Nadto projekt ustawy w ramach rozszerzenia katalogu elektronicznej dokumentacji medycznej – proponuje wprowadzenie karty pacjenta (art. 4 pkt 3). W karcie tej mają się znaleźć się również dane przedstawiciela ustawowego </w:t>
            </w:r>
            <w:r w:rsidRPr="001941B0">
              <w:rPr>
                <w:rFonts w:cs="Calibri"/>
                <w:sz w:val="20"/>
                <w:szCs w:val="20"/>
              </w:rPr>
              <w:lastRenderedPageBreak/>
              <w:t>pacjenta, przez którego rozumie się także opiekuna prawnego, pełnomocników oraz opiekunów faktycznych. Ustawa o prawach pacjenta i Rzeczniku Praw Pacjenta nie reguluje instytucji pełnomocników pacjenta. Zasadne zatem będzie doprecyzowanie tego pojęcia, w szczególności czy za pełnomocnika będziemy mogli uznać również osobę upoważnioną do dostępu do dokumentacji medycznej bądź informacji o stanie zdrowia pacjenta. Zasadnym będzie również doprecyzowanie, że karta pacjenta może być przekazana do innych państw członkowskich Unii Europejskiej lub państw członkowskich Europejskiego Porozumienia o Wolnym Handlu (EFTA) – stron umowy o Europejskim Obszarze Gospodarczym po uprzednim wyrażeniu na to zgody przez pacjenta lub jego przedstawiciela ustawowego, z jednoczesnym wskazaniem czy taką decyzję mogą podjąć opiekun prawny, pełnomocnik oraz opiekun faktyczny pacjenta.</w:t>
            </w:r>
          </w:p>
        </w:tc>
        <w:tc>
          <w:tcPr>
            <w:tcW w:w="2855" w:type="dxa"/>
            <w:shd w:val="clear" w:color="auto" w:fill="FFFFFF" w:themeFill="background1"/>
          </w:tcPr>
          <w:p w14:paraId="26F66541" w14:textId="46C4DCFF" w:rsidR="006B515B" w:rsidRPr="001941B0" w:rsidRDefault="007273DE" w:rsidP="384C731A">
            <w:pPr>
              <w:autoSpaceDE w:val="0"/>
              <w:autoSpaceDN w:val="0"/>
              <w:adjustRightInd w:val="0"/>
              <w:rPr>
                <w:b/>
                <w:bCs/>
                <w:sz w:val="20"/>
                <w:szCs w:val="20"/>
              </w:rPr>
            </w:pPr>
            <w:r w:rsidRPr="001941B0">
              <w:rPr>
                <w:b/>
                <w:bCs/>
                <w:sz w:val="20"/>
                <w:szCs w:val="20"/>
              </w:rPr>
              <w:lastRenderedPageBreak/>
              <w:t xml:space="preserve">Uwaga uwzględniona </w:t>
            </w:r>
          </w:p>
          <w:p w14:paraId="5C56A719" w14:textId="70ACC9BB" w:rsidR="00750A6F" w:rsidRPr="001941B0" w:rsidRDefault="00750A6F" w:rsidP="006E0CB2">
            <w:pPr>
              <w:autoSpaceDE w:val="0"/>
              <w:autoSpaceDN w:val="0"/>
              <w:adjustRightInd w:val="0"/>
              <w:spacing w:after="0" w:line="240" w:lineRule="auto"/>
              <w:rPr>
                <w:sz w:val="20"/>
                <w:szCs w:val="20"/>
              </w:rPr>
            </w:pPr>
          </w:p>
        </w:tc>
      </w:tr>
      <w:tr w:rsidR="00FC7212" w:rsidRPr="001941B0" w14:paraId="704C3D6C" w14:textId="77777777" w:rsidTr="7139DBB9">
        <w:tc>
          <w:tcPr>
            <w:tcW w:w="1125" w:type="dxa"/>
            <w:shd w:val="clear" w:color="auto" w:fill="FFFFFF" w:themeFill="background1"/>
          </w:tcPr>
          <w:p w14:paraId="3A069059" w14:textId="77777777" w:rsidR="00855BE1" w:rsidRPr="001941B0" w:rsidRDefault="00855BE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8DC88DD" w14:textId="76CD746C" w:rsidR="00855BE1" w:rsidRPr="001941B0" w:rsidRDefault="00855BE1" w:rsidP="006E0CB2">
            <w:pPr>
              <w:autoSpaceDE w:val="0"/>
              <w:autoSpaceDN w:val="0"/>
              <w:adjustRightInd w:val="0"/>
              <w:spacing w:after="0" w:line="240" w:lineRule="auto"/>
              <w:rPr>
                <w:rFonts w:cs="Calibri"/>
                <w:bCs/>
                <w:sz w:val="20"/>
                <w:szCs w:val="20"/>
              </w:rPr>
            </w:pPr>
            <w:r w:rsidRPr="001941B0">
              <w:t>Prezes Urzędu Ochrony Danych Osobowych</w:t>
            </w:r>
          </w:p>
        </w:tc>
        <w:tc>
          <w:tcPr>
            <w:tcW w:w="1949" w:type="dxa"/>
            <w:shd w:val="clear" w:color="auto" w:fill="FFFFFF" w:themeFill="background1"/>
          </w:tcPr>
          <w:p w14:paraId="59F30544" w14:textId="2174139B" w:rsidR="00855BE1" w:rsidRPr="001941B0" w:rsidRDefault="00F86FEA" w:rsidP="006E0CB2">
            <w:pPr>
              <w:autoSpaceDE w:val="0"/>
              <w:autoSpaceDN w:val="0"/>
              <w:adjustRightInd w:val="0"/>
              <w:spacing w:after="0" w:line="240" w:lineRule="auto"/>
              <w:rPr>
                <w:rFonts w:cs="Calibri"/>
                <w:sz w:val="20"/>
                <w:szCs w:val="20"/>
              </w:rPr>
            </w:pPr>
            <w:r>
              <w:rPr>
                <w:rFonts w:cs="Calibri"/>
                <w:sz w:val="20"/>
                <w:szCs w:val="20"/>
              </w:rPr>
              <w:t>A</w:t>
            </w:r>
            <w:r w:rsidR="00E61683" w:rsidRPr="001941B0">
              <w:rPr>
                <w:rFonts w:cs="Calibri"/>
                <w:sz w:val="20"/>
                <w:szCs w:val="20"/>
              </w:rPr>
              <w:t>rt. 4</w:t>
            </w:r>
          </w:p>
          <w:p w14:paraId="2F7B5AA8" w14:textId="59B7E700" w:rsidR="00855BE1" w:rsidRPr="001941B0" w:rsidRDefault="00855BE1"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0AF9432E" w14:textId="77777777" w:rsidR="00FB48BD" w:rsidRPr="001941B0" w:rsidRDefault="315A1B76" w:rsidP="00FB48BD">
            <w:pPr>
              <w:autoSpaceDE w:val="0"/>
              <w:autoSpaceDN w:val="0"/>
              <w:adjustRightInd w:val="0"/>
              <w:spacing w:after="0" w:line="240" w:lineRule="auto"/>
              <w:rPr>
                <w:rFonts w:cs="Calibri"/>
                <w:sz w:val="20"/>
                <w:szCs w:val="20"/>
              </w:rPr>
            </w:pPr>
            <w:r w:rsidRPr="001941B0">
              <w:rPr>
                <w:rFonts w:cs="Calibri"/>
                <w:b/>
                <w:bCs/>
                <w:sz w:val="20"/>
                <w:szCs w:val="20"/>
              </w:rPr>
              <w:t xml:space="preserve">III. Uwagi do zmian w ustawie z dnia 6 listopada 2008 r. o prawach pacjenta i Rzeczniku Praw Pacjenta. </w:t>
            </w:r>
          </w:p>
          <w:p w14:paraId="1792F4BC" w14:textId="77777777" w:rsidR="00FB48BD" w:rsidRPr="001941B0" w:rsidRDefault="00FB48BD" w:rsidP="00FB48BD">
            <w:pPr>
              <w:autoSpaceDE w:val="0"/>
              <w:autoSpaceDN w:val="0"/>
              <w:adjustRightInd w:val="0"/>
              <w:spacing w:after="0" w:line="240" w:lineRule="auto"/>
              <w:rPr>
                <w:rFonts w:cs="Calibri"/>
                <w:sz w:val="20"/>
                <w:szCs w:val="20"/>
              </w:rPr>
            </w:pPr>
            <w:r w:rsidRPr="001941B0">
              <w:rPr>
                <w:rFonts w:cs="Calibri"/>
                <w:b/>
                <w:sz w:val="20"/>
                <w:szCs w:val="20"/>
              </w:rPr>
              <w:t xml:space="preserve">1. </w:t>
            </w:r>
            <w:r w:rsidRPr="001941B0">
              <w:rPr>
                <w:rFonts w:cs="Calibri"/>
                <w:sz w:val="20"/>
                <w:szCs w:val="20"/>
              </w:rPr>
              <w:t xml:space="preserve">Zgodnie z </w:t>
            </w:r>
            <w:r w:rsidRPr="001941B0">
              <w:rPr>
                <w:rFonts w:cs="Calibri"/>
                <w:b/>
                <w:sz w:val="20"/>
                <w:szCs w:val="20"/>
              </w:rPr>
              <w:t xml:space="preserve">art. 4 </w:t>
            </w:r>
            <w:r w:rsidRPr="001941B0">
              <w:rPr>
                <w:rFonts w:cs="Calibri"/>
                <w:sz w:val="20"/>
                <w:szCs w:val="20"/>
              </w:rPr>
              <w:t xml:space="preserve">projektu ustawy, </w:t>
            </w:r>
            <w:r w:rsidRPr="001941B0">
              <w:rPr>
                <w:rFonts w:cs="Calibri"/>
                <w:b/>
                <w:sz w:val="20"/>
                <w:szCs w:val="20"/>
              </w:rPr>
              <w:t>dodającym art. 30b</w:t>
            </w:r>
            <w:r w:rsidRPr="001941B0">
              <w:rPr>
                <w:rFonts w:cs="Calibri"/>
                <w:sz w:val="20"/>
                <w:szCs w:val="20"/>
              </w:rPr>
              <w:t xml:space="preserve"> </w:t>
            </w:r>
            <w:r w:rsidRPr="001941B0">
              <w:rPr>
                <w:rFonts w:cs="Calibri"/>
                <w:b/>
                <w:sz w:val="20"/>
                <w:szCs w:val="20"/>
              </w:rPr>
              <w:t>w ustawie z dnia 6 listopada 2008 r. o prawach pacjenta i Rzeczniku Praw Pacjenta</w:t>
            </w:r>
            <w:r w:rsidRPr="001941B0">
              <w:rPr>
                <w:rFonts w:cs="Calibri"/>
                <w:sz w:val="20"/>
                <w:szCs w:val="20"/>
              </w:rPr>
              <w:t xml:space="preserve"> (Dz. U. z 2024 r. poz. 581) do polskiego systemu prawnego zostanie wprowadzony </w:t>
            </w:r>
            <w:r w:rsidRPr="001941B0">
              <w:rPr>
                <w:rFonts w:cs="Calibri"/>
                <w:b/>
                <w:sz w:val="20"/>
                <w:szCs w:val="20"/>
              </w:rPr>
              <w:t>nowy rodzaj elektronicznej dokumentacji medycznej – karta pacjenta</w:t>
            </w:r>
            <w:r w:rsidRPr="001941B0">
              <w:rPr>
                <w:rFonts w:cs="Calibri"/>
                <w:sz w:val="20"/>
                <w:szCs w:val="20"/>
              </w:rPr>
              <w:t xml:space="preserve">, która będzie obejmowała dane osobowe i podstawowe jednostkowe dane medyczne o pacjencie dostępne w Systemie Informacji Medycznej. Jak wskazano w uzasadnieniu do projektu ustawy: „Będzie to nowy, szczególny i dotąd nie znany w polskim systemie ochrony zdrowia rodzaj dokumentacji medycznej, tj. dokument generowany w postaci elektronicznej przez SIM, nie mający jednego twórcy i w związku z powyższym nie podpisywany przez żadnego pracownika medycznego.”. Zgodnie z </w:t>
            </w:r>
            <w:r w:rsidRPr="001941B0">
              <w:rPr>
                <w:rFonts w:cs="Calibri"/>
                <w:b/>
                <w:sz w:val="20"/>
                <w:szCs w:val="20"/>
              </w:rPr>
              <w:t>projektowanym</w:t>
            </w:r>
            <w:r w:rsidRPr="001941B0">
              <w:rPr>
                <w:rFonts w:cs="Calibri"/>
                <w:sz w:val="20"/>
                <w:szCs w:val="20"/>
              </w:rPr>
              <w:t xml:space="preserve"> </w:t>
            </w:r>
            <w:r w:rsidRPr="001941B0">
              <w:rPr>
                <w:rFonts w:cs="Calibri"/>
                <w:b/>
                <w:sz w:val="20"/>
                <w:szCs w:val="20"/>
              </w:rPr>
              <w:t xml:space="preserve">art. 30b ust. 2 </w:t>
            </w:r>
            <w:r w:rsidRPr="001941B0">
              <w:rPr>
                <w:rFonts w:cs="Calibri"/>
                <w:sz w:val="20"/>
                <w:szCs w:val="20"/>
              </w:rPr>
              <w:t xml:space="preserve">ustawy o prawach pacjenta i Rzeczniku Praw Pacjenta, „Karta, o której mowa w ust. 1, jest </w:t>
            </w:r>
            <w:r w:rsidRPr="001941B0">
              <w:rPr>
                <w:rFonts w:cs="Calibri"/>
                <w:sz w:val="20"/>
                <w:szCs w:val="20"/>
                <w:u w:val="single"/>
              </w:rPr>
              <w:t>generowana przez system,</w:t>
            </w:r>
            <w:r w:rsidRPr="001941B0">
              <w:rPr>
                <w:rFonts w:cs="Calibri"/>
                <w:sz w:val="20"/>
                <w:szCs w:val="20"/>
              </w:rPr>
              <w:t xml:space="preserve"> </w:t>
            </w:r>
            <w:r w:rsidRPr="001941B0">
              <w:rPr>
                <w:rFonts w:cs="Calibri"/>
                <w:sz w:val="20"/>
                <w:szCs w:val="20"/>
                <w:u w:val="single"/>
              </w:rPr>
              <w:t>o którym mowa w ust. 1</w:t>
            </w:r>
            <w:r w:rsidRPr="001941B0">
              <w:rPr>
                <w:rFonts w:cs="Calibri"/>
                <w:sz w:val="20"/>
                <w:szCs w:val="20"/>
              </w:rPr>
              <w:t xml:space="preserve">, na żądanie pracownika medycznego uprawnionego do dostępu do danych pacjenta zgodnie z </w:t>
            </w:r>
            <w:r w:rsidRPr="001941B0">
              <w:rPr>
                <w:rFonts w:cs="Calibri"/>
                <w:sz w:val="20"/>
                <w:szCs w:val="20"/>
              </w:rPr>
              <w:lastRenderedPageBreak/>
              <w:t xml:space="preserve">zasadami określonymi w art. 35 ustawy z dnia 28 kwietnia 2011 r. o systemie informacji w ochronie zdrowia”. </w:t>
            </w:r>
          </w:p>
          <w:p w14:paraId="57ABB537" w14:textId="7A808CAE" w:rsidR="005B393B" w:rsidRPr="001941B0" w:rsidRDefault="00FB48BD" w:rsidP="00FB48BD">
            <w:pPr>
              <w:autoSpaceDE w:val="0"/>
              <w:autoSpaceDN w:val="0"/>
              <w:adjustRightInd w:val="0"/>
              <w:spacing w:after="0" w:line="240" w:lineRule="auto"/>
              <w:rPr>
                <w:rFonts w:cs="Calibri"/>
                <w:sz w:val="20"/>
                <w:szCs w:val="20"/>
              </w:rPr>
            </w:pPr>
            <w:r w:rsidRPr="001941B0">
              <w:rPr>
                <w:rFonts w:cs="Calibri"/>
                <w:sz w:val="20"/>
                <w:szCs w:val="20"/>
              </w:rPr>
              <w:t xml:space="preserve">Z punktu widzenia zasad dotyczących przetwarzania danych osobowych – zgodności z prawem, rzetelności i przejrzystości, celowości, prawidłowości oraz rozliczalności – konieczne jest wyjaśnienie i doprecyzowanie w przepisach prawa </w:t>
            </w:r>
            <w:r w:rsidRPr="001941B0">
              <w:rPr>
                <w:rFonts w:cs="Calibri"/>
                <w:b/>
                <w:sz w:val="20"/>
                <w:szCs w:val="20"/>
              </w:rPr>
              <w:t>kto będzie odpowiedzialny za przetwarzanie danych w treści karty pacjenta</w:t>
            </w:r>
            <w:r w:rsidRPr="001941B0">
              <w:rPr>
                <w:rFonts w:cs="Calibri"/>
                <w:sz w:val="20"/>
                <w:szCs w:val="20"/>
              </w:rPr>
              <w:t xml:space="preserve">, w szczególności za prawidłowość </w:t>
            </w:r>
            <w:r w:rsidRPr="001941B0">
              <w:rPr>
                <w:rFonts w:cs="Calibri"/>
                <w:b/>
                <w:sz w:val="20"/>
                <w:szCs w:val="20"/>
              </w:rPr>
              <w:t xml:space="preserve">i aktualność </w:t>
            </w:r>
            <w:r w:rsidRPr="001941B0">
              <w:rPr>
                <w:rFonts w:cs="Calibri"/>
                <w:sz w:val="20"/>
                <w:szCs w:val="20"/>
              </w:rPr>
              <w:t xml:space="preserve">danych w niej zawartych, skoro karta ma być „generowana przez system”, a jednocześnie jest podstawowym dokumentem zawierającym dane osobowe pacjenta przetwarzane elektronicznie. Czy będzie to minister właściwy do spraw zdrowia jako administrator danych zawartych w SIM (art. 10 ust. 7 ustawy o system informacji w ochronie zdrowia), jednostka podległa ministrowi właściwemu do spraw zdrowia, właściwa w zakresie systemów informacyjnych ochrony zdrowia jako administrator sytemu SIM (art. 10 ust. 7 ustawy o system informacji w ochronie zdrowia), czy też pracownik medyczny wykonujący „żądanie” dla realizacji którego generowana jest karta. Ustawodawca dostrzega problem dotyczący przetwarzania na karcie pacjenta danych aktualnych i prawidłowych, ale odsyła w tym zakresie do mechanizmu, bliżej nie określonego w projekcie ustawy, który ma wynikać z aktu wykonawczego do projektowanej ustawy (art. 4 pkt 3 projektu dot. art. 30b ust. 7 – „Minister właściwy do spraw zdrowia określi, w drodze rozporządzenia: 1) szczegółowy zakres danych, o których mowa w ust. 3 pkt 3, okresy, z których dane te pochodzą oraz sposób uwzględniania i aktualizowania tych danych”.). Z projektowanych przepisów nie wynika również czy karta będzie każdorazowo generowana przez SIM na żądanie pracownika </w:t>
            </w:r>
          </w:p>
          <w:p w14:paraId="17F36579" w14:textId="63CD57BC" w:rsidR="00FB48BD" w:rsidRPr="001941B0" w:rsidRDefault="00FB48BD" w:rsidP="00FB48BD">
            <w:pPr>
              <w:autoSpaceDE w:val="0"/>
              <w:autoSpaceDN w:val="0"/>
              <w:adjustRightInd w:val="0"/>
              <w:spacing w:after="0" w:line="240" w:lineRule="auto"/>
              <w:rPr>
                <w:rFonts w:cs="Calibri"/>
                <w:sz w:val="20"/>
                <w:szCs w:val="20"/>
              </w:rPr>
            </w:pPr>
            <w:r w:rsidRPr="001941B0">
              <w:rPr>
                <w:rFonts w:cs="Calibri"/>
                <w:sz w:val="20"/>
                <w:szCs w:val="20"/>
              </w:rPr>
              <w:t xml:space="preserve">medycznego, czy też będzie to dokument, który raz wygenerowany podlegać będzie modyfikacjom w wyniku dalszego przetwarzania, również przez innych usługodawców, co ma znaczenie także z punktu widzenia zasad ochrony danych osobowych (np. kwestia przechowywania tej dokumentacji). Projekt ustawy nie reguluje również w oparciu </w:t>
            </w:r>
            <w:r w:rsidRPr="001941B0">
              <w:rPr>
                <w:rFonts w:cs="Calibri"/>
                <w:sz w:val="20"/>
                <w:szCs w:val="20"/>
              </w:rPr>
              <w:lastRenderedPageBreak/>
              <w:t xml:space="preserve">o jakie konkretnie dane pacjenta (dokumentację) generowana będzie karta pacjenta. Prawa i obowiązki, w tym w przedmiocie przetwarzania danych osobowych, w tym medycznych, powinny być mocą przepisów prawa przypisane konkretnemu podmiotowi, a nie systemowi jako narzędziu, tym bardziej że chodzi o jeden z podstawowych dokumentów dotyczących zdrowia pacjenta. Akt wykonawczy nie powinien też określać zasad aktualizacji i prawidłowości danych zawartych na karcie, tym bardziej że przetwarzane będą dane szczególnych kategorii, a gwarancje ich ochrony muszą być jak najwyższe, stosownie do art. 9 ust. 3 i 4 rozporządzenia 2016/679. </w:t>
            </w:r>
          </w:p>
          <w:p w14:paraId="2A51A6BD" w14:textId="2D9EA036" w:rsidR="00855BE1" w:rsidRPr="001941B0" w:rsidRDefault="315A1B76" w:rsidP="006E0CB2">
            <w:pPr>
              <w:autoSpaceDE w:val="0"/>
              <w:autoSpaceDN w:val="0"/>
              <w:adjustRightInd w:val="0"/>
              <w:spacing w:after="0" w:line="240" w:lineRule="auto"/>
              <w:rPr>
                <w:rFonts w:cs="Calibri"/>
                <w:sz w:val="20"/>
                <w:szCs w:val="20"/>
              </w:rPr>
            </w:pPr>
            <w:r w:rsidRPr="001941B0">
              <w:rPr>
                <w:rFonts w:cs="Calibri"/>
                <w:sz w:val="20"/>
                <w:szCs w:val="20"/>
              </w:rPr>
              <w:t xml:space="preserve">Ponadto, projektowana ustawa nie przewiduje zgody pacjenta na wygenerowanie karty. Dlatego należy rozważyć co powinno warunkować, tj. być impulsem do jej wygenerowania przez system, np. czy powinno być ono realizowane na polecenie pracownika medycznego uprawnionego do dostępu do danych pacjenta </w:t>
            </w:r>
            <w:r w:rsidRPr="001941B0">
              <w:rPr>
                <w:rFonts w:cs="Calibri"/>
                <w:b/>
                <w:bCs/>
                <w:sz w:val="20"/>
                <w:szCs w:val="20"/>
              </w:rPr>
              <w:t>po zleceniu jej wygenerowania lub wyrażenia zgody na jej wygenerowanie przez pacjenta lub osoby przez niego upoważnionej.</w:t>
            </w:r>
          </w:p>
        </w:tc>
        <w:tc>
          <w:tcPr>
            <w:tcW w:w="2855" w:type="dxa"/>
            <w:shd w:val="clear" w:color="auto" w:fill="FFFFFF" w:themeFill="background1"/>
          </w:tcPr>
          <w:p w14:paraId="1A199FAB" w14:textId="52CA1A98" w:rsidR="00943967" w:rsidRPr="001941B0" w:rsidRDefault="009E3D16" w:rsidP="006E0CB2">
            <w:pPr>
              <w:autoSpaceDE w:val="0"/>
              <w:autoSpaceDN w:val="0"/>
              <w:adjustRightInd w:val="0"/>
              <w:spacing w:after="0" w:line="240" w:lineRule="auto"/>
              <w:rPr>
                <w:b/>
                <w:bCs/>
                <w:sz w:val="20"/>
                <w:szCs w:val="20"/>
              </w:rPr>
            </w:pPr>
            <w:r w:rsidRPr="001941B0">
              <w:rPr>
                <w:b/>
                <w:bCs/>
                <w:sz w:val="20"/>
                <w:szCs w:val="20"/>
              </w:rPr>
              <w:lastRenderedPageBreak/>
              <w:t>Wyjaśnienie</w:t>
            </w:r>
          </w:p>
          <w:p w14:paraId="197673FC" w14:textId="4447F676" w:rsidR="00855BE1" w:rsidRPr="001941B0" w:rsidRDefault="00AB5397" w:rsidP="006E0CB2">
            <w:pPr>
              <w:autoSpaceDE w:val="0"/>
              <w:autoSpaceDN w:val="0"/>
              <w:adjustRightInd w:val="0"/>
              <w:spacing w:after="0" w:line="240" w:lineRule="auto"/>
              <w:rPr>
                <w:sz w:val="20"/>
                <w:szCs w:val="20"/>
              </w:rPr>
            </w:pPr>
            <w:r w:rsidRPr="001941B0">
              <w:rPr>
                <w:sz w:val="20"/>
                <w:szCs w:val="20"/>
              </w:rPr>
              <w:t xml:space="preserve">Projektowana ustawa reguluje </w:t>
            </w:r>
            <w:r w:rsidR="00C83502" w:rsidRPr="001941B0">
              <w:rPr>
                <w:sz w:val="20"/>
                <w:szCs w:val="20"/>
              </w:rPr>
              <w:t>kwestie generowania karty przez pracownika medycznego uprawnionego do dostępu do danych pacjenta zgodnie z zasadami określonymi w a</w:t>
            </w:r>
            <w:r w:rsidR="00AC4E55" w:rsidRPr="001941B0">
              <w:rPr>
                <w:sz w:val="20"/>
                <w:szCs w:val="20"/>
              </w:rPr>
              <w:t xml:space="preserve">rt. </w:t>
            </w:r>
            <w:r w:rsidR="007273DE" w:rsidRPr="001941B0">
              <w:rPr>
                <w:sz w:val="20"/>
                <w:szCs w:val="20"/>
              </w:rPr>
              <w:t>35</w:t>
            </w:r>
            <w:r w:rsidR="00C83502" w:rsidRPr="001941B0">
              <w:rPr>
                <w:sz w:val="20"/>
                <w:szCs w:val="20"/>
              </w:rPr>
              <w:t xml:space="preserve"> ustawy </w:t>
            </w:r>
            <w:r w:rsidR="007273DE" w:rsidRPr="001941B0">
              <w:rPr>
                <w:sz w:val="20"/>
                <w:szCs w:val="20"/>
              </w:rPr>
              <w:t xml:space="preserve">o systemie informacji w ochronie zdrowia </w:t>
            </w:r>
            <w:r w:rsidR="00C83502" w:rsidRPr="001941B0">
              <w:rPr>
                <w:sz w:val="20"/>
                <w:szCs w:val="20"/>
              </w:rPr>
              <w:t>(</w:t>
            </w:r>
            <w:r w:rsidR="00FE28F5" w:rsidRPr="001941B0">
              <w:rPr>
                <w:sz w:val="20"/>
                <w:szCs w:val="20"/>
              </w:rPr>
              <w:t>kart</w:t>
            </w:r>
            <w:r w:rsidR="003E172F" w:rsidRPr="001941B0">
              <w:rPr>
                <w:sz w:val="20"/>
                <w:szCs w:val="20"/>
              </w:rPr>
              <w:t xml:space="preserve">a zostaje wygenerowane </w:t>
            </w:r>
            <w:r w:rsidR="00AC4E55" w:rsidRPr="001941B0">
              <w:rPr>
                <w:sz w:val="20"/>
                <w:szCs w:val="20"/>
              </w:rPr>
              <w:t>decyzj</w:t>
            </w:r>
            <w:r w:rsidR="00B54B3F" w:rsidRPr="001941B0">
              <w:rPr>
                <w:sz w:val="20"/>
                <w:szCs w:val="20"/>
              </w:rPr>
              <w:t>ą</w:t>
            </w:r>
            <w:r w:rsidR="00AC4E55" w:rsidRPr="001941B0">
              <w:rPr>
                <w:sz w:val="20"/>
                <w:szCs w:val="20"/>
              </w:rPr>
              <w:t xml:space="preserve"> lekarza</w:t>
            </w:r>
            <w:r w:rsidR="009B6BBC" w:rsidRPr="001941B0">
              <w:rPr>
                <w:sz w:val="20"/>
                <w:szCs w:val="20"/>
              </w:rPr>
              <w:t xml:space="preserve"> zgodnie z jego uprawnieniami</w:t>
            </w:r>
            <w:r w:rsidR="00C83502" w:rsidRPr="001941B0">
              <w:rPr>
                <w:sz w:val="20"/>
                <w:szCs w:val="20"/>
              </w:rPr>
              <w:t xml:space="preserve">). </w:t>
            </w:r>
            <w:r w:rsidR="009B6BBC" w:rsidRPr="001941B0">
              <w:rPr>
                <w:sz w:val="20"/>
                <w:szCs w:val="20"/>
              </w:rPr>
              <w:t xml:space="preserve"> </w:t>
            </w:r>
          </w:p>
        </w:tc>
      </w:tr>
      <w:tr w:rsidR="00FC7212" w:rsidRPr="001941B0" w14:paraId="05140F68" w14:textId="77777777" w:rsidTr="7139DBB9">
        <w:tc>
          <w:tcPr>
            <w:tcW w:w="1125" w:type="dxa"/>
            <w:shd w:val="clear" w:color="auto" w:fill="FFFFFF" w:themeFill="background1"/>
          </w:tcPr>
          <w:p w14:paraId="3A270901" w14:textId="77777777" w:rsidR="00520EA2" w:rsidRPr="001941B0" w:rsidRDefault="00520EA2" w:rsidP="00520EA2">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69143A2" w14:textId="62D2B64C" w:rsidR="00520EA2" w:rsidRPr="001941B0" w:rsidRDefault="00520EA2" w:rsidP="00520EA2">
            <w:pPr>
              <w:autoSpaceDE w:val="0"/>
              <w:autoSpaceDN w:val="0"/>
              <w:adjustRightInd w:val="0"/>
              <w:spacing w:after="0" w:line="240" w:lineRule="auto"/>
            </w:pPr>
            <w:r w:rsidRPr="001941B0">
              <w:t>Prezes Urzędu Ochrony Danych Osobowych</w:t>
            </w:r>
          </w:p>
        </w:tc>
        <w:tc>
          <w:tcPr>
            <w:tcW w:w="1949" w:type="dxa"/>
            <w:shd w:val="clear" w:color="auto" w:fill="FFFFFF" w:themeFill="background1"/>
          </w:tcPr>
          <w:p w14:paraId="0DDC5048" w14:textId="1CBA988B" w:rsidR="00520EA2" w:rsidRPr="001941B0" w:rsidRDefault="000C4DF7" w:rsidP="00520EA2">
            <w:pPr>
              <w:autoSpaceDE w:val="0"/>
              <w:autoSpaceDN w:val="0"/>
              <w:adjustRightInd w:val="0"/>
              <w:spacing w:after="0" w:line="240" w:lineRule="auto"/>
              <w:rPr>
                <w:rFonts w:cs="Calibri"/>
                <w:sz w:val="20"/>
                <w:szCs w:val="20"/>
              </w:rPr>
            </w:pPr>
            <w:r>
              <w:rPr>
                <w:rFonts w:cs="Calibri"/>
                <w:sz w:val="20"/>
                <w:szCs w:val="20"/>
              </w:rPr>
              <w:t>A</w:t>
            </w:r>
            <w:r w:rsidR="00520EA2" w:rsidRPr="001941B0">
              <w:rPr>
                <w:rFonts w:cs="Calibri"/>
                <w:sz w:val="20"/>
                <w:szCs w:val="20"/>
              </w:rPr>
              <w:t>rt. 4</w:t>
            </w:r>
          </w:p>
        </w:tc>
        <w:tc>
          <w:tcPr>
            <w:tcW w:w="5652" w:type="dxa"/>
            <w:shd w:val="clear" w:color="auto" w:fill="FFFFFF" w:themeFill="background1"/>
          </w:tcPr>
          <w:p w14:paraId="4DEC1DB3" w14:textId="77777777" w:rsidR="00362949" w:rsidRPr="001941B0" w:rsidRDefault="00362949" w:rsidP="00362949">
            <w:pPr>
              <w:autoSpaceDE w:val="0"/>
              <w:autoSpaceDN w:val="0"/>
              <w:adjustRightInd w:val="0"/>
              <w:spacing w:after="0" w:line="240" w:lineRule="auto"/>
              <w:rPr>
                <w:rFonts w:cs="Calibri"/>
                <w:sz w:val="20"/>
                <w:szCs w:val="20"/>
              </w:rPr>
            </w:pPr>
            <w:r w:rsidRPr="001941B0">
              <w:rPr>
                <w:rFonts w:cs="Calibri"/>
                <w:b/>
                <w:sz w:val="20"/>
                <w:szCs w:val="20"/>
              </w:rPr>
              <w:t xml:space="preserve">III. Uwagi do zmian w ustawie z dnia 6 listopada 2008 r. o prawach pacjenta i Rzeczniku Praw Pacjenta. </w:t>
            </w:r>
          </w:p>
          <w:p w14:paraId="580096FF" w14:textId="2FA13AEA" w:rsidR="00520EA2" w:rsidRPr="001941B0" w:rsidRDefault="00956A5D" w:rsidP="00520EA2">
            <w:pPr>
              <w:autoSpaceDE w:val="0"/>
              <w:autoSpaceDN w:val="0"/>
              <w:adjustRightInd w:val="0"/>
              <w:spacing w:after="0" w:line="240" w:lineRule="auto"/>
              <w:rPr>
                <w:rFonts w:cs="Calibri"/>
                <w:sz w:val="20"/>
                <w:szCs w:val="20"/>
              </w:rPr>
            </w:pPr>
            <w:r w:rsidRPr="001941B0">
              <w:rPr>
                <w:rFonts w:cs="Calibri"/>
                <w:b/>
                <w:bCs/>
                <w:sz w:val="20"/>
                <w:szCs w:val="20"/>
              </w:rPr>
              <w:t>2.</w:t>
            </w:r>
            <w:r w:rsidRPr="001941B0">
              <w:rPr>
                <w:rFonts w:cs="Calibri"/>
                <w:sz w:val="20"/>
                <w:szCs w:val="20"/>
              </w:rPr>
              <w:t xml:space="preserve"> Zgodnie z </w:t>
            </w:r>
            <w:r w:rsidRPr="001941B0">
              <w:rPr>
                <w:rFonts w:cs="Calibri"/>
                <w:b/>
                <w:sz w:val="20"/>
                <w:szCs w:val="20"/>
              </w:rPr>
              <w:t xml:space="preserve">art. 30b ust. 3 pkt 1 lit. b </w:t>
            </w:r>
            <w:r w:rsidRPr="001941B0">
              <w:rPr>
                <w:rFonts w:cs="Calibri"/>
                <w:sz w:val="20"/>
                <w:szCs w:val="20"/>
              </w:rPr>
              <w:t>w ustawy o prawach pacjenta i Rzeczniku Praw Pacjenta</w:t>
            </w:r>
            <w:r w:rsidRPr="001941B0">
              <w:rPr>
                <w:rFonts w:cs="Calibri"/>
                <w:b/>
                <w:sz w:val="20"/>
                <w:szCs w:val="20"/>
              </w:rPr>
              <w:t xml:space="preserve"> </w:t>
            </w:r>
            <w:r w:rsidRPr="001941B0">
              <w:rPr>
                <w:rFonts w:cs="Calibri"/>
                <w:sz w:val="20"/>
                <w:szCs w:val="20"/>
              </w:rPr>
              <w:t xml:space="preserve">„Karta, o której mowa w ust. 1, obejmuje: (…) dane pacjenta, o których mowa w art. 25 ust. 1 pkt 1, oraz: (…) adres poczty elektronicznej oraz numer telefonu kontaktowego pacjenta lub osób, o których mowa w lit. a;”. W polskim porządku prawnym nie ma obowiązku posiadania numeru telefonu oraz adresu poczty elektronicznej, zaś w wyniku przyjęcia projektowanych rozwiązań obowiązek taki zostanie nałożony na każdego pacjenta, któremu zostanie wygenerowana karta pacjenta. Projektodawca powinien uzasadnić dlaczego podanie tych danych jest obligatoryjne. Z przepisów i uzasadnienia projektowanej ustawy powinno jasno wynikać dlaczego ich podanie jest niezbędne dla osiągnięcia celów przetwarzania, zgodnie z zasadami dotyczącymi przetwarzania danych </w:t>
            </w:r>
            <w:r w:rsidRPr="001941B0">
              <w:rPr>
                <w:rFonts w:cs="Calibri"/>
                <w:sz w:val="20"/>
                <w:szCs w:val="20"/>
              </w:rPr>
              <w:lastRenderedPageBreak/>
              <w:t>osobowych: zgodności z prawem, rzetelności i przejrzystości, ograniczenia celu, minimalizacji danych oraz rozliczalności. Dodatkowo powstaje pytanie na jakim etapie i przez kogo dane te będą pozyskiwane, skoro – jak wyjaśnia projektodawca – „karta pacjenta nie będzie miała swojego twórcy i będzie generowana w postaci elektronicznej przez SIM”. Odpowiadałoby to zasadzie zgodności z prawem, rzetelności i przejrzystości, ograniczenia celu minimalizacji danych oraz rozliczalności.</w:t>
            </w:r>
          </w:p>
        </w:tc>
        <w:tc>
          <w:tcPr>
            <w:tcW w:w="2855" w:type="dxa"/>
            <w:shd w:val="clear" w:color="auto" w:fill="FFFFFF" w:themeFill="background1"/>
          </w:tcPr>
          <w:p w14:paraId="0671BEF8" w14:textId="77777777" w:rsidR="0076304B" w:rsidRPr="001941B0" w:rsidRDefault="0076304B" w:rsidP="00520EA2">
            <w:pPr>
              <w:autoSpaceDE w:val="0"/>
              <w:autoSpaceDN w:val="0"/>
              <w:adjustRightInd w:val="0"/>
              <w:spacing w:after="0" w:line="240" w:lineRule="auto"/>
              <w:rPr>
                <w:b/>
                <w:bCs/>
                <w:sz w:val="20"/>
                <w:szCs w:val="20"/>
              </w:rPr>
            </w:pPr>
            <w:r w:rsidRPr="001941B0">
              <w:rPr>
                <w:b/>
                <w:bCs/>
                <w:sz w:val="20"/>
                <w:szCs w:val="20"/>
              </w:rPr>
              <w:lastRenderedPageBreak/>
              <w:t>Wyjaśnienie</w:t>
            </w:r>
          </w:p>
          <w:p w14:paraId="17641D3C" w14:textId="77777777" w:rsidR="00227217" w:rsidRPr="001941B0" w:rsidRDefault="00227217" w:rsidP="00520EA2">
            <w:pPr>
              <w:autoSpaceDE w:val="0"/>
              <w:autoSpaceDN w:val="0"/>
              <w:adjustRightInd w:val="0"/>
              <w:spacing w:after="0" w:line="240" w:lineRule="auto"/>
              <w:rPr>
                <w:b/>
                <w:bCs/>
                <w:sz w:val="20"/>
                <w:szCs w:val="20"/>
              </w:rPr>
            </w:pPr>
          </w:p>
          <w:p w14:paraId="15FD0D30" w14:textId="65DAE6D9" w:rsidR="00227217" w:rsidRPr="001941B0" w:rsidRDefault="00227217" w:rsidP="00520EA2">
            <w:pPr>
              <w:autoSpaceDE w:val="0"/>
              <w:autoSpaceDN w:val="0"/>
              <w:adjustRightInd w:val="0"/>
              <w:spacing w:after="0" w:line="240" w:lineRule="auto"/>
              <w:rPr>
                <w:b/>
                <w:bCs/>
                <w:sz w:val="20"/>
                <w:szCs w:val="20"/>
              </w:rPr>
            </w:pPr>
          </w:p>
          <w:p w14:paraId="4B546F57" w14:textId="7386301F" w:rsidR="001B578F" w:rsidRPr="001941B0" w:rsidRDefault="347F4842" w:rsidP="00520EA2">
            <w:pPr>
              <w:autoSpaceDE w:val="0"/>
              <w:autoSpaceDN w:val="0"/>
              <w:adjustRightInd w:val="0"/>
              <w:spacing w:after="0" w:line="240" w:lineRule="auto"/>
              <w:rPr>
                <w:sz w:val="20"/>
                <w:szCs w:val="20"/>
              </w:rPr>
            </w:pPr>
            <w:r w:rsidRPr="001941B0">
              <w:rPr>
                <w:sz w:val="20"/>
                <w:szCs w:val="20"/>
              </w:rPr>
              <w:t>Dane</w:t>
            </w:r>
            <w:r w:rsidR="00B74C83" w:rsidRPr="001941B0">
              <w:rPr>
                <w:sz w:val="20"/>
                <w:szCs w:val="20"/>
              </w:rPr>
              <w:t xml:space="preserve"> te</w:t>
            </w:r>
            <w:r w:rsidRPr="001941B0">
              <w:rPr>
                <w:sz w:val="20"/>
                <w:szCs w:val="20"/>
              </w:rPr>
              <w:t xml:space="preserve"> mają charakter fakultatywny.</w:t>
            </w:r>
          </w:p>
          <w:p w14:paraId="61BE9183" w14:textId="542D903F" w:rsidR="384C731A" w:rsidRPr="001941B0" w:rsidRDefault="384C731A" w:rsidP="384C731A">
            <w:pPr>
              <w:spacing w:after="0" w:line="240" w:lineRule="auto"/>
              <w:rPr>
                <w:sz w:val="20"/>
                <w:szCs w:val="20"/>
              </w:rPr>
            </w:pPr>
          </w:p>
          <w:p w14:paraId="29ADA15C" w14:textId="76B50A92" w:rsidR="00520EA2" w:rsidRPr="001941B0" w:rsidRDefault="00520EA2" w:rsidP="00A80A7D">
            <w:pPr>
              <w:autoSpaceDE w:val="0"/>
              <w:autoSpaceDN w:val="0"/>
              <w:adjustRightInd w:val="0"/>
              <w:spacing w:after="0" w:line="240" w:lineRule="auto"/>
              <w:rPr>
                <w:b/>
                <w:sz w:val="20"/>
                <w:szCs w:val="20"/>
              </w:rPr>
            </w:pPr>
          </w:p>
        </w:tc>
      </w:tr>
      <w:tr w:rsidR="00FC7212" w:rsidRPr="001941B0" w14:paraId="3ECBB103" w14:textId="77777777" w:rsidTr="7139DBB9">
        <w:tc>
          <w:tcPr>
            <w:tcW w:w="1125" w:type="dxa"/>
            <w:shd w:val="clear" w:color="auto" w:fill="FFFFFF" w:themeFill="background1"/>
          </w:tcPr>
          <w:p w14:paraId="7E987BD9" w14:textId="77777777" w:rsidR="00520EA2" w:rsidRPr="001941B0" w:rsidRDefault="00520EA2" w:rsidP="00520EA2">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AD437DB" w14:textId="03271EA3" w:rsidR="00520EA2" w:rsidRPr="001941B0" w:rsidRDefault="00520EA2" w:rsidP="00520EA2">
            <w:pPr>
              <w:autoSpaceDE w:val="0"/>
              <w:autoSpaceDN w:val="0"/>
              <w:adjustRightInd w:val="0"/>
              <w:spacing w:after="0" w:line="240" w:lineRule="auto"/>
            </w:pPr>
            <w:r w:rsidRPr="001941B0">
              <w:t>Prezes Urzędu Ochrony Danych Osobowych</w:t>
            </w:r>
          </w:p>
        </w:tc>
        <w:tc>
          <w:tcPr>
            <w:tcW w:w="1949" w:type="dxa"/>
            <w:shd w:val="clear" w:color="auto" w:fill="FFFFFF" w:themeFill="background1"/>
          </w:tcPr>
          <w:p w14:paraId="7A6FA87E" w14:textId="29CD1D80" w:rsidR="00520EA2" w:rsidRPr="001941B0" w:rsidRDefault="000C4DF7" w:rsidP="00520EA2">
            <w:pPr>
              <w:autoSpaceDE w:val="0"/>
              <w:autoSpaceDN w:val="0"/>
              <w:adjustRightInd w:val="0"/>
              <w:spacing w:after="0" w:line="240" w:lineRule="auto"/>
              <w:rPr>
                <w:rFonts w:cs="Calibri"/>
                <w:sz w:val="20"/>
                <w:szCs w:val="20"/>
              </w:rPr>
            </w:pPr>
            <w:r>
              <w:rPr>
                <w:rFonts w:cs="Calibri"/>
                <w:sz w:val="20"/>
                <w:szCs w:val="20"/>
              </w:rPr>
              <w:t>A</w:t>
            </w:r>
            <w:r w:rsidR="00520EA2" w:rsidRPr="001941B0">
              <w:rPr>
                <w:rFonts w:cs="Calibri"/>
                <w:sz w:val="20"/>
                <w:szCs w:val="20"/>
              </w:rPr>
              <w:t>rt. 4</w:t>
            </w:r>
          </w:p>
        </w:tc>
        <w:tc>
          <w:tcPr>
            <w:tcW w:w="5652" w:type="dxa"/>
            <w:shd w:val="clear" w:color="auto" w:fill="FFFFFF" w:themeFill="background1"/>
          </w:tcPr>
          <w:p w14:paraId="22D021A3" w14:textId="77777777" w:rsidR="00AE328E" w:rsidRPr="001941B0" w:rsidRDefault="00AE328E" w:rsidP="00AE328E">
            <w:pPr>
              <w:autoSpaceDE w:val="0"/>
              <w:autoSpaceDN w:val="0"/>
              <w:adjustRightInd w:val="0"/>
              <w:spacing w:after="0" w:line="240" w:lineRule="auto"/>
              <w:rPr>
                <w:rFonts w:cs="Calibri"/>
                <w:sz w:val="20"/>
                <w:szCs w:val="20"/>
              </w:rPr>
            </w:pPr>
            <w:r w:rsidRPr="001941B0">
              <w:rPr>
                <w:rFonts w:cs="Calibri"/>
                <w:b/>
                <w:sz w:val="20"/>
                <w:szCs w:val="20"/>
              </w:rPr>
              <w:t xml:space="preserve">III. Uwagi do zmian w ustawie z dnia 6 listopada 2008 r. o prawach pacjenta i Rzeczniku Praw Pacjenta. </w:t>
            </w:r>
          </w:p>
          <w:p w14:paraId="289FE51B" w14:textId="00A6126D" w:rsidR="00520EA2" w:rsidRPr="001941B0" w:rsidRDefault="00A77D7C" w:rsidP="00520EA2">
            <w:pPr>
              <w:autoSpaceDE w:val="0"/>
              <w:autoSpaceDN w:val="0"/>
              <w:adjustRightInd w:val="0"/>
              <w:spacing w:after="0" w:line="240" w:lineRule="auto"/>
              <w:rPr>
                <w:rFonts w:cs="Calibri"/>
                <w:sz w:val="20"/>
                <w:szCs w:val="20"/>
              </w:rPr>
            </w:pPr>
            <w:r w:rsidRPr="001941B0">
              <w:rPr>
                <w:rFonts w:cs="Calibri"/>
                <w:b/>
                <w:bCs/>
                <w:sz w:val="20"/>
                <w:szCs w:val="20"/>
              </w:rPr>
              <w:t>3.</w:t>
            </w:r>
            <w:r w:rsidRPr="001941B0">
              <w:rPr>
                <w:rFonts w:cs="Calibri"/>
                <w:sz w:val="20"/>
                <w:szCs w:val="20"/>
              </w:rPr>
              <w:t xml:space="preserve"> Zgodnie z</w:t>
            </w:r>
            <w:r w:rsidRPr="001941B0">
              <w:rPr>
                <w:rFonts w:cs="Calibri"/>
                <w:b/>
                <w:sz w:val="20"/>
                <w:szCs w:val="20"/>
              </w:rPr>
              <w:t xml:space="preserve"> art. 30b ust. 3 lit. b</w:t>
            </w:r>
            <w:r w:rsidRPr="001941B0">
              <w:rPr>
                <w:rFonts w:cs="Calibri"/>
                <w:sz w:val="20"/>
                <w:szCs w:val="20"/>
              </w:rPr>
              <w:t xml:space="preserve"> „Karta, o której mowa w ust. 1, obejmuje:</w:t>
            </w:r>
            <w:r w:rsidR="00973380" w:rsidRPr="001941B0">
              <w:rPr>
                <w:rFonts w:cs="Calibri"/>
                <w:sz w:val="20"/>
                <w:szCs w:val="20"/>
              </w:rPr>
              <w:t xml:space="preserve"> </w:t>
            </w:r>
            <w:r w:rsidRPr="001941B0">
              <w:rPr>
                <w:rFonts w:cs="Calibri"/>
                <w:sz w:val="20"/>
                <w:szCs w:val="20"/>
              </w:rPr>
              <w:t>informacje o wybranym lekarzu podstawowej opieki zdrowotnej”. Projektowany przepis ma charakter niedookreślony, nie wynika z niego jakie in</w:t>
            </w:r>
            <w:r w:rsidR="006C4DBC" w:rsidRPr="001941B0">
              <w:rPr>
                <w:rFonts w:cs="Calibri"/>
                <w:sz w:val="20"/>
                <w:szCs w:val="20"/>
              </w:rPr>
              <w:t xml:space="preserve"> </w:t>
            </w:r>
            <w:r w:rsidRPr="001941B0">
              <w:rPr>
                <w:rFonts w:cs="Calibri"/>
                <w:sz w:val="20"/>
                <w:szCs w:val="20"/>
              </w:rPr>
              <w:t xml:space="preserve">formacje o lekarzu podstawowej opieki zdrowotnej będzie obejmować karta. Kwestie te nie zostały przez projektodawcę przekazane do uregulowania w akcie wykonawczym, zgodnie z </w:t>
            </w:r>
            <w:r w:rsidRPr="001941B0">
              <w:rPr>
                <w:rFonts w:cs="Calibri"/>
                <w:b/>
                <w:sz w:val="20"/>
                <w:szCs w:val="20"/>
              </w:rPr>
              <w:t xml:space="preserve">art. 30b ust. 7 </w:t>
            </w:r>
            <w:r w:rsidRPr="001941B0">
              <w:rPr>
                <w:rFonts w:cs="Calibri"/>
                <w:sz w:val="20"/>
                <w:szCs w:val="20"/>
              </w:rPr>
              <w:t>projektu ustawy, co nie odpowiada zasadzie zgodności z prawem, rzetelności i przejrzystości, ograniczenia celu oraz minimalizacji danych.</w:t>
            </w:r>
          </w:p>
        </w:tc>
        <w:tc>
          <w:tcPr>
            <w:tcW w:w="2855" w:type="dxa"/>
            <w:shd w:val="clear" w:color="auto" w:fill="FFFFFF" w:themeFill="background1"/>
          </w:tcPr>
          <w:p w14:paraId="409B0E52" w14:textId="77777777" w:rsidR="00520EA2" w:rsidRPr="001941B0" w:rsidRDefault="00B14D82" w:rsidP="00520EA2">
            <w:pPr>
              <w:autoSpaceDE w:val="0"/>
              <w:autoSpaceDN w:val="0"/>
              <w:adjustRightInd w:val="0"/>
              <w:spacing w:after="0" w:line="240" w:lineRule="auto"/>
              <w:rPr>
                <w:b/>
                <w:bCs/>
                <w:sz w:val="20"/>
                <w:szCs w:val="20"/>
              </w:rPr>
            </w:pPr>
            <w:r w:rsidRPr="001941B0">
              <w:rPr>
                <w:b/>
                <w:bCs/>
                <w:sz w:val="20"/>
                <w:szCs w:val="20"/>
              </w:rPr>
              <w:t>Uwaga uwzględniona</w:t>
            </w:r>
          </w:p>
          <w:p w14:paraId="5458BDFA" w14:textId="77777777" w:rsidR="00BA7054" w:rsidRPr="001941B0" w:rsidRDefault="00BA7054" w:rsidP="00520EA2">
            <w:pPr>
              <w:autoSpaceDE w:val="0"/>
              <w:autoSpaceDN w:val="0"/>
              <w:adjustRightInd w:val="0"/>
              <w:spacing w:after="0" w:line="240" w:lineRule="auto"/>
              <w:rPr>
                <w:b/>
                <w:bCs/>
                <w:sz w:val="20"/>
                <w:szCs w:val="20"/>
              </w:rPr>
            </w:pPr>
          </w:p>
          <w:p w14:paraId="1925160D" w14:textId="3772D7CA" w:rsidR="00BA7054" w:rsidRPr="001941B0" w:rsidRDefault="00BA7054" w:rsidP="00A80A7D">
            <w:pPr>
              <w:autoSpaceDE w:val="0"/>
              <w:autoSpaceDN w:val="0"/>
              <w:adjustRightInd w:val="0"/>
              <w:spacing w:after="0" w:line="240" w:lineRule="auto"/>
              <w:rPr>
                <w:b/>
                <w:sz w:val="20"/>
                <w:szCs w:val="20"/>
              </w:rPr>
            </w:pPr>
          </w:p>
        </w:tc>
      </w:tr>
      <w:tr w:rsidR="00FC7212" w:rsidRPr="001941B0" w14:paraId="3CD36D5F" w14:textId="77777777" w:rsidTr="7139DBB9">
        <w:tc>
          <w:tcPr>
            <w:tcW w:w="1125" w:type="dxa"/>
            <w:shd w:val="clear" w:color="auto" w:fill="FFFFFF" w:themeFill="background1"/>
          </w:tcPr>
          <w:p w14:paraId="4048E471" w14:textId="77777777" w:rsidR="00520EA2" w:rsidRPr="001941B0" w:rsidRDefault="00520EA2" w:rsidP="00520EA2">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7709001" w14:textId="352F9DC6" w:rsidR="00520EA2" w:rsidRPr="001941B0" w:rsidRDefault="00520EA2" w:rsidP="00520EA2">
            <w:pPr>
              <w:autoSpaceDE w:val="0"/>
              <w:autoSpaceDN w:val="0"/>
              <w:adjustRightInd w:val="0"/>
              <w:spacing w:after="0" w:line="240" w:lineRule="auto"/>
            </w:pPr>
            <w:r w:rsidRPr="001941B0">
              <w:t>Prezes Urzędu Ochrony Danych Osobowych</w:t>
            </w:r>
          </w:p>
        </w:tc>
        <w:tc>
          <w:tcPr>
            <w:tcW w:w="1949" w:type="dxa"/>
            <w:shd w:val="clear" w:color="auto" w:fill="FFFFFF" w:themeFill="background1"/>
          </w:tcPr>
          <w:p w14:paraId="44513EBE" w14:textId="185EFF6E" w:rsidR="00520EA2" w:rsidRPr="001941B0" w:rsidRDefault="000C4DF7" w:rsidP="00520EA2">
            <w:pPr>
              <w:autoSpaceDE w:val="0"/>
              <w:autoSpaceDN w:val="0"/>
              <w:adjustRightInd w:val="0"/>
              <w:spacing w:after="0" w:line="240" w:lineRule="auto"/>
              <w:rPr>
                <w:rFonts w:cs="Calibri"/>
                <w:sz w:val="20"/>
                <w:szCs w:val="20"/>
              </w:rPr>
            </w:pPr>
            <w:r>
              <w:rPr>
                <w:rFonts w:cs="Calibri"/>
                <w:sz w:val="20"/>
                <w:szCs w:val="20"/>
              </w:rPr>
              <w:t>A</w:t>
            </w:r>
            <w:r w:rsidR="00520EA2" w:rsidRPr="001941B0">
              <w:rPr>
                <w:rFonts w:cs="Calibri"/>
                <w:sz w:val="20"/>
                <w:szCs w:val="20"/>
              </w:rPr>
              <w:t>rt. 4</w:t>
            </w:r>
          </w:p>
        </w:tc>
        <w:tc>
          <w:tcPr>
            <w:tcW w:w="5652" w:type="dxa"/>
            <w:shd w:val="clear" w:color="auto" w:fill="FFFFFF" w:themeFill="background1"/>
          </w:tcPr>
          <w:p w14:paraId="388784E3" w14:textId="77777777" w:rsidR="00AE328E" w:rsidRPr="001941B0" w:rsidRDefault="00AE328E" w:rsidP="00AE328E">
            <w:pPr>
              <w:autoSpaceDE w:val="0"/>
              <w:autoSpaceDN w:val="0"/>
              <w:adjustRightInd w:val="0"/>
              <w:spacing w:after="0" w:line="240" w:lineRule="auto"/>
              <w:rPr>
                <w:rFonts w:cs="Calibri"/>
                <w:sz w:val="20"/>
                <w:szCs w:val="20"/>
              </w:rPr>
            </w:pPr>
            <w:r w:rsidRPr="001941B0">
              <w:rPr>
                <w:rFonts w:cs="Calibri"/>
                <w:b/>
                <w:sz w:val="20"/>
                <w:szCs w:val="20"/>
              </w:rPr>
              <w:t xml:space="preserve">III. Uwagi do zmian w ustawie z dnia 6 listopada 2008 r. o prawach pacjenta i Rzeczniku Praw Pacjenta. </w:t>
            </w:r>
          </w:p>
          <w:p w14:paraId="6E5E15E4" w14:textId="2DB04C04" w:rsidR="006C28BD" w:rsidRPr="001941B0" w:rsidRDefault="006C28BD" w:rsidP="006C28BD">
            <w:pPr>
              <w:autoSpaceDE w:val="0"/>
              <w:autoSpaceDN w:val="0"/>
              <w:adjustRightInd w:val="0"/>
              <w:spacing w:after="0" w:line="240" w:lineRule="auto"/>
              <w:rPr>
                <w:rFonts w:cs="Calibri"/>
                <w:sz w:val="20"/>
                <w:szCs w:val="20"/>
              </w:rPr>
            </w:pPr>
            <w:r w:rsidRPr="001941B0">
              <w:rPr>
                <w:rFonts w:cs="Calibri"/>
                <w:b/>
                <w:bCs/>
                <w:sz w:val="20"/>
                <w:szCs w:val="20"/>
              </w:rPr>
              <w:t>4.</w:t>
            </w:r>
            <w:r w:rsidRPr="001941B0">
              <w:rPr>
                <w:rFonts w:cs="Calibri"/>
                <w:sz w:val="20"/>
                <w:szCs w:val="20"/>
              </w:rPr>
              <w:t xml:space="preserve"> Zgodnie z</w:t>
            </w:r>
            <w:r w:rsidRPr="001941B0">
              <w:rPr>
                <w:rFonts w:cs="Calibri"/>
                <w:b/>
                <w:sz w:val="20"/>
                <w:szCs w:val="20"/>
              </w:rPr>
              <w:t xml:space="preserve"> art. 30b ust. 3 pkt 3 „</w:t>
            </w:r>
            <w:r w:rsidRPr="001941B0">
              <w:rPr>
                <w:rFonts w:cs="Calibri"/>
                <w:sz w:val="20"/>
                <w:szCs w:val="20"/>
              </w:rPr>
              <w:t xml:space="preserve">Karta, o której mowa w ust. 1, obejmuje: (…) jednostkowe dane medyczne w rozumieniu art. 2 pkt 7 ustawy z dnia 28 kwietnia 2011 r. o systemie informacji w ochronie zdrowia dotyczące: a) grupy krwi pacjenta lub informacji o braku potwierdzonego wyniku grupy krwi, b) alergii lub informacji o braku potwierdzonych danych o występujących alergiach, c) produktów leczniczych przepisanych pacjentowi na recepcie elektronicznej, d) szczepień ochronnych wykonanych u pacjenta lub informacji o braku potwierdzonych danych o wykonanych szczepieniach, </w:t>
            </w:r>
            <w:r w:rsidRPr="001941B0">
              <w:rPr>
                <w:rFonts w:cs="Calibri"/>
                <w:sz w:val="20"/>
                <w:szCs w:val="20"/>
                <w:u w:val="single"/>
              </w:rPr>
              <w:t>e) przewlekłych i istotnych</w:t>
            </w:r>
            <w:r w:rsidRPr="001941B0">
              <w:rPr>
                <w:rFonts w:cs="Calibri"/>
                <w:sz w:val="20"/>
                <w:szCs w:val="20"/>
              </w:rPr>
              <w:t xml:space="preserve"> </w:t>
            </w:r>
            <w:r w:rsidRPr="001941B0">
              <w:rPr>
                <w:rFonts w:cs="Calibri"/>
                <w:sz w:val="20"/>
                <w:szCs w:val="20"/>
                <w:u w:val="single"/>
              </w:rPr>
              <w:t>problemów zdrowotnych stwierdzonych u pacjenta z zastosowaniem obowiązującej</w:t>
            </w:r>
            <w:r w:rsidRPr="001941B0">
              <w:rPr>
                <w:rFonts w:cs="Calibri"/>
                <w:sz w:val="20"/>
                <w:szCs w:val="20"/>
              </w:rPr>
              <w:t xml:space="preserve"> </w:t>
            </w:r>
            <w:r w:rsidRPr="001941B0">
              <w:rPr>
                <w:rFonts w:cs="Calibri"/>
                <w:sz w:val="20"/>
                <w:szCs w:val="20"/>
                <w:u w:val="single"/>
              </w:rPr>
              <w:t xml:space="preserve">Międzynarodowej Klasyfikacji Chorób i Problemów </w:t>
            </w:r>
            <w:r w:rsidRPr="001941B0">
              <w:rPr>
                <w:rFonts w:cs="Calibri"/>
                <w:sz w:val="20"/>
                <w:szCs w:val="20"/>
                <w:u w:val="single"/>
              </w:rPr>
              <w:lastRenderedPageBreak/>
              <w:t>Zdrowotnych, jeżeli są znane, f)</w:t>
            </w:r>
            <w:r w:rsidRPr="001941B0">
              <w:rPr>
                <w:rFonts w:cs="Calibri"/>
                <w:sz w:val="20"/>
                <w:szCs w:val="20"/>
              </w:rPr>
              <w:t xml:space="preserve"> </w:t>
            </w:r>
            <w:r w:rsidRPr="001941B0">
              <w:rPr>
                <w:rFonts w:cs="Calibri"/>
                <w:sz w:val="20"/>
                <w:szCs w:val="20"/>
                <w:u w:val="single"/>
              </w:rPr>
              <w:t>operacji i zabiegów, którym poddany został pacjent, jeżeli są znane, g) wyrobów</w:t>
            </w:r>
            <w:r w:rsidRPr="001941B0">
              <w:rPr>
                <w:rFonts w:cs="Calibri"/>
                <w:sz w:val="20"/>
                <w:szCs w:val="20"/>
              </w:rPr>
              <w:t xml:space="preserve"> </w:t>
            </w:r>
            <w:r w:rsidRPr="001941B0">
              <w:rPr>
                <w:rFonts w:cs="Calibri"/>
                <w:sz w:val="20"/>
                <w:szCs w:val="20"/>
                <w:u w:val="single"/>
              </w:rPr>
              <w:t>medycznych zaimplantowanych u pacjenta lub informacji o braku potwierdzonych danych</w:t>
            </w:r>
            <w:r w:rsidRPr="001941B0">
              <w:rPr>
                <w:rFonts w:cs="Calibri"/>
                <w:sz w:val="20"/>
                <w:szCs w:val="20"/>
              </w:rPr>
              <w:t xml:space="preserve"> </w:t>
            </w:r>
            <w:r w:rsidRPr="001941B0">
              <w:rPr>
                <w:rFonts w:cs="Calibri"/>
                <w:sz w:val="20"/>
                <w:szCs w:val="20"/>
                <w:u w:val="single"/>
              </w:rPr>
              <w:t>o zaimplementowanych wyrobach medycznych, h) wykonanych badań z zastosowaniem</w:t>
            </w:r>
            <w:r w:rsidRPr="001941B0">
              <w:rPr>
                <w:rFonts w:cs="Calibri"/>
                <w:sz w:val="20"/>
                <w:szCs w:val="20"/>
              </w:rPr>
              <w:t xml:space="preserve"> </w:t>
            </w:r>
            <w:r w:rsidRPr="001941B0">
              <w:rPr>
                <w:rFonts w:cs="Calibri"/>
                <w:sz w:val="20"/>
                <w:szCs w:val="20"/>
                <w:u w:val="single"/>
              </w:rPr>
              <w:t>obowiązującej Międzynarodowej Klasyfikacji Procedur Medycznych, jeżeli są znane</w:t>
            </w:r>
            <w:r w:rsidRPr="001941B0">
              <w:rPr>
                <w:rFonts w:cs="Calibri"/>
                <w:sz w:val="20"/>
                <w:szCs w:val="20"/>
              </w:rPr>
              <w:t xml:space="preserve">;”. Dodatkowo, zgodnie z </w:t>
            </w:r>
            <w:r w:rsidRPr="001941B0">
              <w:rPr>
                <w:rFonts w:cs="Calibri"/>
                <w:b/>
                <w:sz w:val="20"/>
                <w:szCs w:val="20"/>
              </w:rPr>
              <w:t xml:space="preserve">art. 30b ust. 7 pkt 1 </w:t>
            </w:r>
            <w:r w:rsidRPr="001941B0">
              <w:rPr>
                <w:rFonts w:cs="Calibri"/>
                <w:sz w:val="20"/>
                <w:szCs w:val="20"/>
              </w:rPr>
              <w:t>projektu ustawy</w:t>
            </w:r>
            <w:r w:rsidRPr="001941B0">
              <w:rPr>
                <w:rFonts w:cs="Calibri"/>
                <w:b/>
                <w:sz w:val="20"/>
                <w:szCs w:val="20"/>
              </w:rPr>
              <w:t xml:space="preserve"> </w:t>
            </w:r>
            <w:r w:rsidRPr="001941B0">
              <w:rPr>
                <w:rFonts w:cs="Calibri"/>
                <w:sz w:val="20"/>
                <w:szCs w:val="20"/>
              </w:rPr>
              <w:t xml:space="preserve">„Minister właściwy do spraw zdrowia określi, w drodze rozporządzenia: (…) 1) szczegółowy zakres danych, o których mowa w ust. 3 pkt 3, okresy, z których dane te pochodzą oraz sposób uwzględniania i aktualizowania tych danych,”. </w:t>
            </w:r>
          </w:p>
          <w:p w14:paraId="7BE0EAB1" w14:textId="11CBF008" w:rsidR="00520EA2" w:rsidRPr="001941B0" w:rsidRDefault="006C28BD" w:rsidP="00520EA2">
            <w:pPr>
              <w:autoSpaceDE w:val="0"/>
              <w:autoSpaceDN w:val="0"/>
              <w:adjustRightInd w:val="0"/>
              <w:spacing w:after="0" w:line="240" w:lineRule="auto"/>
              <w:rPr>
                <w:rFonts w:cs="Calibri"/>
                <w:sz w:val="20"/>
                <w:szCs w:val="20"/>
              </w:rPr>
            </w:pPr>
            <w:r w:rsidRPr="001941B0">
              <w:rPr>
                <w:rFonts w:cs="Calibri"/>
                <w:b/>
                <w:sz w:val="20"/>
                <w:szCs w:val="20"/>
              </w:rPr>
              <w:t>W wyniku przyjęcia projektowanych przepisów dojdzie więc do sytuacji, w której w karcie pacjenta znajdzie się szereg informacji dotyczących zdrowia pacjenta, których zakres zostanie ustalony w akcie wykonawczym</w:t>
            </w:r>
            <w:r w:rsidRPr="001941B0">
              <w:rPr>
                <w:rFonts w:cs="Calibri"/>
                <w:sz w:val="20"/>
                <w:szCs w:val="20"/>
              </w:rPr>
              <w:t xml:space="preserve">. W ocenie organu nadzorczego jest to niedopuszczalne z punktu widzenia zasady legalizmu (art. 5 ust. 1 lit. a rozporządzenia 2016/679) oraz przepisów konstytucyjnych (art. 51 w zw. z art. 31 ust. 3 Konstytucji RP oraz w zw. z art. 92 ust. 1 Konstytucji RP), ponieważ dane dotyczące zdrowia i sposób ich przetwarzania powinien wynikać z przepisów ustawowych. Leczenie i obsługa potrzeb pacjenta wiążące się z wykonywaniem operacji na takich danych jak: przewlekłe i istotne problemy zdrowotne stwierdzone u pacjenta, wyroby medyczne zaimplantowane u pacjenta, wykonanie badań z zastosowaniem obowiązującej Międzynarodowej Klasyfikacji Procedur Medycznych, </w:t>
            </w:r>
            <w:r w:rsidRPr="001941B0">
              <w:rPr>
                <w:rFonts w:cs="Calibri"/>
                <w:b/>
                <w:sz w:val="20"/>
                <w:szCs w:val="20"/>
              </w:rPr>
              <w:t>oznaczają przetwarzanie informacji o stanie zdrowia pacjenta, w tym tak delikatnych jak np. powiązane z jego sferą seksualności, czy też zdrowiem psychicznym</w:t>
            </w:r>
            <w:r w:rsidRPr="001941B0">
              <w:rPr>
                <w:rFonts w:cs="Calibri"/>
                <w:sz w:val="20"/>
                <w:szCs w:val="20"/>
              </w:rPr>
              <w:t xml:space="preserve">. Do informacji tych będzie miał dodatkowo dostęp każdy, kto będzie miał dostęp do karty, o ile nie zmieni się zakres zawartych w niej danych po pierwotnym wygenerowaniu, gdyż projektowana ustawa nie zawiera analogicznych uregulowań do art. 35 ustawy o systemie informacji w ochronie zdrowia, gwarantujących dostęp do danych zgromadzonych w SIM dla lekarza, pielęgniarki lub </w:t>
            </w:r>
            <w:r w:rsidRPr="001941B0">
              <w:rPr>
                <w:rFonts w:cs="Calibri"/>
                <w:sz w:val="20"/>
                <w:szCs w:val="20"/>
              </w:rPr>
              <w:lastRenderedPageBreak/>
              <w:t>położnej, udzielających pacjentowi (usługobiorcy) świadczeń opieki zdrowotnej w ramach umowy o udzielanie świadczeń opieki zdrowotnej z zakresu podstawowej opieki zdrowotnej (art. 35 ust. 1 pkt 3 ustawy o systemie informacji w ochronie zdrowia). Dopuszczenie do informacji objętych tajemnicą medyczną nie może odbywać się w odniesieniu do niesprecyzowanego kręgu osób, bez wykazania, że osoby te były uprawnione do przetwarzania tych konkretnych danych dotyczących zdrowia. Takie rozwiązanie stanowi naruszenie art. 9 ust. 3 rozporządzenia 2016/679, zgodnie z którym dane o stanie zdrowia mogą być przetwarzane wyłącznie przez osoby podlegające obowiązkowi zachowania tajemnicy zawodowej na mocy prawa Unii lub prawa państwa członkowskiego, lub przepisów ustanowionych przez właściwe organy krajowe lub przez inną osobę również podlegającą obowiązkowi zachowania tajemnicy zawodowej na mocy prawa Unii lub prawa państwa członkowskiego, lub przepisów ustanowionych przez właściwe organy krajowe.). Konstytucyjna zasada legalizmu wymaga, aby przetwarzanie danych osobowych przez podmioty publiczne odbywało się na podstawie i w granicach przepisów prawa (art. 7 Konstytucji RP). Rolą projektodawcy jest natomiast precyzyjne wskazanie wykonawcom norm, jakie dane mają być przetwarzane, w jakim celu, w jaki sposób, przez jaki okres czasu oraz kto będzie za to przetwarzanie odpowiadał (art. 5 ust. 1 lit. a, b, c, e w zw. z art. 5 ust. 2 w zw. z art. 6 ust. 3 rozporządzenia 2016/679). Władze publiczne nie mogą zaś pozyskiwać, gromadzić i udostępniać innych informacji o obywatelach niż niezbędne w demokratycznym państwie prawnym, zaś zasady i tryb gromadzenia oraz udostępnienia informacji określa ustawa (art. 51 ust 2 i ust. 5 Konstytucji RP).</w:t>
            </w:r>
          </w:p>
        </w:tc>
        <w:tc>
          <w:tcPr>
            <w:tcW w:w="2855" w:type="dxa"/>
            <w:shd w:val="clear" w:color="auto" w:fill="FFFFFF" w:themeFill="background1"/>
          </w:tcPr>
          <w:p w14:paraId="09A5BE6E" w14:textId="77777777" w:rsidR="00520EA2" w:rsidRPr="001941B0" w:rsidRDefault="00E70172" w:rsidP="00520EA2">
            <w:pPr>
              <w:autoSpaceDE w:val="0"/>
              <w:autoSpaceDN w:val="0"/>
              <w:adjustRightInd w:val="0"/>
              <w:spacing w:after="0" w:line="240" w:lineRule="auto"/>
              <w:rPr>
                <w:b/>
                <w:bCs/>
                <w:sz w:val="20"/>
                <w:szCs w:val="20"/>
              </w:rPr>
            </w:pPr>
            <w:r w:rsidRPr="001941B0">
              <w:rPr>
                <w:b/>
                <w:sz w:val="20"/>
                <w:szCs w:val="20"/>
              </w:rPr>
              <w:lastRenderedPageBreak/>
              <w:t>Wyjaśnienia</w:t>
            </w:r>
          </w:p>
          <w:p w14:paraId="54885228" w14:textId="151E17E4" w:rsidR="0083060C" w:rsidRPr="001941B0" w:rsidRDefault="0083060C" w:rsidP="00520EA2">
            <w:pPr>
              <w:autoSpaceDE w:val="0"/>
              <w:autoSpaceDN w:val="0"/>
              <w:adjustRightInd w:val="0"/>
              <w:spacing w:after="0" w:line="240" w:lineRule="auto"/>
              <w:rPr>
                <w:sz w:val="20"/>
                <w:szCs w:val="20"/>
              </w:rPr>
            </w:pPr>
          </w:p>
          <w:p w14:paraId="1B10F404" w14:textId="5BE82FC8" w:rsidR="0083060C" w:rsidRPr="001941B0" w:rsidRDefault="0083060C" w:rsidP="0083060C">
            <w:pPr>
              <w:autoSpaceDE w:val="0"/>
              <w:autoSpaceDN w:val="0"/>
              <w:adjustRightInd w:val="0"/>
              <w:spacing w:after="0" w:line="240" w:lineRule="auto"/>
              <w:rPr>
                <w:sz w:val="20"/>
                <w:szCs w:val="20"/>
              </w:rPr>
            </w:pPr>
            <w:r w:rsidRPr="001941B0">
              <w:rPr>
                <w:sz w:val="20"/>
                <w:szCs w:val="20"/>
              </w:rPr>
              <w:t xml:space="preserve">Zakres jednostkowych danych medycznych uwzględnianych w karcie pacjenta został określony bezpośrednio w przepisie ustawowym (art. 30b ust. 3 pkt 3), natomiast upoważnienie do wydania rozporządzenia dotyczy jedynie doprecyzowania kwestii technicznych, takich jak okresy, z których dane są prezentowane, oraz sposób ich uwzględniania i </w:t>
            </w:r>
            <w:r w:rsidRPr="001941B0">
              <w:rPr>
                <w:sz w:val="20"/>
                <w:szCs w:val="20"/>
              </w:rPr>
              <w:lastRenderedPageBreak/>
              <w:t xml:space="preserve">aktualizowania. Projektowane rozwiązanie ma na celu przedstawienie danych zgromadzonych w Systemie Informacji Medycznej w formie ustrukturyzowanej. Karta pacjenta nie wprowadza nowego zakresu danych ani nowych operacji przetwarzania, lecz stanowi zestawienie danych już przetwarzanych w systemie. Dostęp do karty pacjenta odbywa się na tych samych zasadach jak dostęp do danych w SIM, określonych w art. 35 ustawy o systemie informacji w ochronie zdrowia, a więc wyłącznie przez osoby uprawnione i objęte obowiązkiem zachowania tajemnicy zawodowej. </w:t>
            </w:r>
            <w:r w:rsidRPr="001941B0">
              <w:rPr>
                <w:rFonts w:ascii="Segoe UI" w:eastAsia="Times New Roman" w:hAnsi="Segoe UI" w:cs="Segoe UI"/>
                <w:kern w:val="0"/>
                <w:sz w:val="18"/>
                <w:szCs w:val="18"/>
                <w:lang w:eastAsia="pl-PL"/>
                <w14:ligatures w14:val="none"/>
              </w:rPr>
              <w:t xml:space="preserve"> </w:t>
            </w:r>
            <w:r w:rsidRPr="001941B0">
              <w:rPr>
                <w:sz w:val="20"/>
                <w:szCs w:val="20"/>
              </w:rPr>
              <w:t>W konsekwencji projektowane rozwiązanie nie rozszerza kręgu podmiotów uprawnionych do przetwarzania danych dotyczących zdrowia ani nie narusza zasad określonych w art. 9 ust. 3 rozporządzenia 2016/679.</w:t>
            </w:r>
          </w:p>
          <w:p w14:paraId="586E0FE5" w14:textId="746E048F" w:rsidR="0083060C" w:rsidRPr="001941B0" w:rsidRDefault="0083060C" w:rsidP="0083060C">
            <w:pPr>
              <w:autoSpaceDE w:val="0"/>
              <w:autoSpaceDN w:val="0"/>
              <w:adjustRightInd w:val="0"/>
              <w:spacing w:after="0" w:line="240" w:lineRule="auto"/>
              <w:rPr>
                <w:sz w:val="20"/>
                <w:szCs w:val="20"/>
              </w:rPr>
            </w:pPr>
          </w:p>
          <w:p w14:paraId="7E98892D" w14:textId="23D7E92C" w:rsidR="0083060C" w:rsidRPr="001941B0" w:rsidRDefault="0083060C" w:rsidP="00520EA2">
            <w:pPr>
              <w:autoSpaceDE w:val="0"/>
              <w:autoSpaceDN w:val="0"/>
              <w:adjustRightInd w:val="0"/>
              <w:spacing w:after="0" w:line="240" w:lineRule="auto"/>
              <w:rPr>
                <w:sz w:val="20"/>
                <w:szCs w:val="20"/>
              </w:rPr>
            </w:pPr>
          </w:p>
        </w:tc>
      </w:tr>
      <w:tr w:rsidR="00FC7212" w:rsidRPr="001941B0" w14:paraId="4FA446E3" w14:textId="77777777" w:rsidTr="7139DBB9">
        <w:tc>
          <w:tcPr>
            <w:tcW w:w="1125" w:type="dxa"/>
            <w:shd w:val="clear" w:color="auto" w:fill="FFFFFF" w:themeFill="background1"/>
          </w:tcPr>
          <w:p w14:paraId="3545DF47" w14:textId="77777777" w:rsidR="00520EA2" w:rsidRPr="001941B0" w:rsidRDefault="00520EA2" w:rsidP="00520EA2">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FC4E4D3" w14:textId="77777777" w:rsidR="004D25DE" w:rsidRPr="001941B0" w:rsidRDefault="004D25DE" w:rsidP="00520EA2">
            <w:pPr>
              <w:autoSpaceDE w:val="0"/>
              <w:autoSpaceDN w:val="0"/>
              <w:adjustRightInd w:val="0"/>
              <w:spacing w:after="0" w:line="240" w:lineRule="auto"/>
            </w:pPr>
          </w:p>
          <w:p w14:paraId="2957A291" w14:textId="77777777" w:rsidR="003E1CAC" w:rsidRPr="001941B0" w:rsidRDefault="003E1CAC" w:rsidP="00520EA2">
            <w:pPr>
              <w:autoSpaceDE w:val="0"/>
              <w:autoSpaceDN w:val="0"/>
              <w:adjustRightInd w:val="0"/>
              <w:spacing w:after="0" w:line="240" w:lineRule="auto"/>
            </w:pPr>
          </w:p>
          <w:p w14:paraId="5D0EBCE2" w14:textId="77777777" w:rsidR="00911473" w:rsidRPr="001941B0" w:rsidRDefault="00911473" w:rsidP="00520EA2">
            <w:pPr>
              <w:autoSpaceDE w:val="0"/>
              <w:autoSpaceDN w:val="0"/>
              <w:adjustRightInd w:val="0"/>
              <w:spacing w:after="0" w:line="240" w:lineRule="auto"/>
            </w:pPr>
          </w:p>
          <w:p w14:paraId="54936A14" w14:textId="23D7E59C" w:rsidR="00520EA2" w:rsidRPr="001941B0" w:rsidRDefault="00520EA2" w:rsidP="00520EA2">
            <w:pPr>
              <w:autoSpaceDE w:val="0"/>
              <w:autoSpaceDN w:val="0"/>
              <w:adjustRightInd w:val="0"/>
              <w:spacing w:after="0" w:line="240" w:lineRule="auto"/>
            </w:pPr>
            <w:r w:rsidRPr="001941B0">
              <w:t>Prezes Urzędu Ochrony Danych Osobowych</w:t>
            </w:r>
          </w:p>
        </w:tc>
        <w:tc>
          <w:tcPr>
            <w:tcW w:w="1949" w:type="dxa"/>
            <w:shd w:val="clear" w:color="auto" w:fill="FFFFFF" w:themeFill="background1"/>
          </w:tcPr>
          <w:p w14:paraId="36595F74" w14:textId="50C9F601" w:rsidR="00520EA2" w:rsidRPr="001941B0" w:rsidRDefault="000C4DF7" w:rsidP="00520EA2">
            <w:pPr>
              <w:autoSpaceDE w:val="0"/>
              <w:autoSpaceDN w:val="0"/>
              <w:adjustRightInd w:val="0"/>
              <w:spacing w:after="0" w:line="240" w:lineRule="auto"/>
              <w:rPr>
                <w:rFonts w:cs="Calibri"/>
                <w:sz w:val="20"/>
                <w:szCs w:val="20"/>
              </w:rPr>
            </w:pPr>
            <w:r>
              <w:rPr>
                <w:rFonts w:cs="Calibri"/>
                <w:sz w:val="20"/>
                <w:szCs w:val="20"/>
              </w:rPr>
              <w:t>A</w:t>
            </w:r>
            <w:r w:rsidR="00520EA2" w:rsidRPr="001941B0">
              <w:rPr>
                <w:rFonts w:cs="Calibri"/>
                <w:sz w:val="20"/>
                <w:szCs w:val="20"/>
              </w:rPr>
              <w:t>rt. 4</w:t>
            </w:r>
          </w:p>
        </w:tc>
        <w:tc>
          <w:tcPr>
            <w:tcW w:w="5652" w:type="dxa"/>
            <w:shd w:val="clear" w:color="auto" w:fill="FFFFFF" w:themeFill="background1"/>
          </w:tcPr>
          <w:p w14:paraId="6423BAE4" w14:textId="77777777" w:rsidR="00AE328E" w:rsidRPr="001941B0" w:rsidRDefault="00AE328E" w:rsidP="00AE328E">
            <w:pPr>
              <w:autoSpaceDE w:val="0"/>
              <w:autoSpaceDN w:val="0"/>
              <w:adjustRightInd w:val="0"/>
              <w:spacing w:after="0" w:line="240" w:lineRule="auto"/>
              <w:rPr>
                <w:rFonts w:cs="Calibri"/>
                <w:sz w:val="20"/>
                <w:szCs w:val="20"/>
              </w:rPr>
            </w:pPr>
            <w:r w:rsidRPr="001941B0">
              <w:rPr>
                <w:rFonts w:cs="Calibri"/>
                <w:b/>
                <w:sz w:val="20"/>
                <w:szCs w:val="20"/>
              </w:rPr>
              <w:t xml:space="preserve">III. Uwagi do zmian w ustawie z dnia 6 listopada 2008 r. o prawach pacjenta i Rzeczniku Praw Pacjenta. </w:t>
            </w:r>
          </w:p>
          <w:p w14:paraId="5054BA35" w14:textId="257701B0" w:rsidR="003D6446" w:rsidRPr="001941B0" w:rsidRDefault="003D6446" w:rsidP="003D6446">
            <w:pPr>
              <w:autoSpaceDE w:val="0"/>
              <w:autoSpaceDN w:val="0"/>
              <w:adjustRightInd w:val="0"/>
              <w:spacing w:after="0" w:line="240" w:lineRule="auto"/>
              <w:rPr>
                <w:rFonts w:cs="Calibri"/>
                <w:sz w:val="20"/>
                <w:szCs w:val="20"/>
              </w:rPr>
            </w:pPr>
            <w:r w:rsidRPr="001941B0">
              <w:rPr>
                <w:rFonts w:cs="Calibri"/>
                <w:b/>
                <w:sz w:val="20"/>
                <w:szCs w:val="20"/>
              </w:rPr>
              <w:t>5.</w:t>
            </w:r>
            <w:r w:rsidRPr="001941B0">
              <w:rPr>
                <w:rFonts w:cs="Calibri"/>
                <w:sz w:val="20"/>
                <w:szCs w:val="20"/>
              </w:rPr>
              <w:t xml:space="preserve"> Zgodnie z </w:t>
            </w:r>
            <w:r w:rsidRPr="001941B0">
              <w:rPr>
                <w:rFonts w:cs="Calibri"/>
                <w:b/>
                <w:sz w:val="20"/>
                <w:szCs w:val="20"/>
              </w:rPr>
              <w:t>art. 30b ust. 7</w:t>
            </w:r>
            <w:r w:rsidRPr="001941B0">
              <w:rPr>
                <w:rFonts w:cs="Calibri"/>
                <w:sz w:val="20"/>
                <w:szCs w:val="20"/>
              </w:rPr>
              <w:t>:</w:t>
            </w:r>
            <w:r w:rsidRPr="001941B0">
              <w:rPr>
                <w:rFonts w:cs="Calibri"/>
                <w:b/>
                <w:sz w:val="20"/>
                <w:szCs w:val="20"/>
              </w:rPr>
              <w:t xml:space="preserve"> „</w:t>
            </w:r>
            <w:r w:rsidRPr="001941B0">
              <w:rPr>
                <w:rFonts w:cs="Calibri"/>
                <w:sz w:val="20"/>
                <w:szCs w:val="20"/>
              </w:rPr>
              <w:t xml:space="preserve">Minister właściwy do spraw zdrowia określi, w drodze rozporządzenia: 1) szczegółowy zakres danych, o których mowa w ust. 3 pkt 3, okresy, z których dane te pochodzą oraz sposób uwzględniania i </w:t>
            </w:r>
            <w:r w:rsidRPr="001941B0">
              <w:rPr>
                <w:rFonts w:cs="Calibri"/>
                <w:sz w:val="20"/>
                <w:szCs w:val="20"/>
              </w:rPr>
              <w:lastRenderedPageBreak/>
              <w:t xml:space="preserve">aktualizowania tych danych, 2) sposób przekazywania danych, o których mowa w ust. 3, w tym ich tłumaczenia, do innych państw członkowskich Unii Europejskiej lub państw członkowskich Europejskiego Porozumienia o Wolnym Handlu (EFTA) – stron umowy o Europejskim Obszarze Gospodarczym, 3) sposób odbierania danych osobowych i jednostkowych danych medycznych pacjentów wytworzonych w innych państwach członkowskich Unii Europejskiej lub państwach członkowskich Europejskiego Porozumienia o Wolnym Handlu (EFTA) – stronach umowy o Europejskim Obszarze Gospodarczym, zwanych „państwami przekazania danych”, a także sposób identyfikacji pacjentów, których te dane dotyczą oraz informowania ich o przetwarzaniu ich danych osobowych i jednostkowych danych medycznych – mając na uwadze konieczność zapewnienia kompletności, rzetelności i przydatności tych danych dla oceny i monitorowania stanu zdrowia pacjenta oraz konieczności zapewnienia mu ciągłości leczenia, a także bezpieczeństwo danych.”. </w:t>
            </w:r>
          </w:p>
          <w:p w14:paraId="1DAFA4FB" w14:textId="29AB159A" w:rsidR="00520EA2" w:rsidRPr="001941B0" w:rsidRDefault="003D6446" w:rsidP="00520EA2">
            <w:pPr>
              <w:autoSpaceDE w:val="0"/>
              <w:autoSpaceDN w:val="0"/>
              <w:adjustRightInd w:val="0"/>
              <w:spacing w:after="0" w:line="240" w:lineRule="auto"/>
              <w:rPr>
                <w:rFonts w:cs="Calibri"/>
                <w:sz w:val="20"/>
                <w:szCs w:val="20"/>
              </w:rPr>
            </w:pPr>
            <w:r w:rsidRPr="001941B0">
              <w:rPr>
                <w:rFonts w:cs="Calibri"/>
                <w:sz w:val="20"/>
                <w:szCs w:val="20"/>
              </w:rPr>
              <w:t>Zakres danych, o których mowa w</w:t>
            </w:r>
            <w:r w:rsidRPr="001941B0">
              <w:rPr>
                <w:rFonts w:cs="Calibri"/>
                <w:b/>
                <w:sz w:val="20"/>
                <w:szCs w:val="20"/>
              </w:rPr>
              <w:t xml:space="preserve"> art. 30b ust. 7 pkt 3 </w:t>
            </w:r>
            <w:r w:rsidRPr="001941B0">
              <w:rPr>
                <w:rFonts w:cs="Calibri"/>
                <w:sz w:val="20"/>
                <w:szCs w:val="20"/>
              </w:rPr>
              <w:t xml:space="preserve">ustawy, jest określony w sposób na tyle ogólny i blankietowy sposób (nie określono chociażby kategorii problemów zdrowotnych stwierdzonych u pacjenta, co jest istotne w kontekście wcześniej sygnalizowanych wątpliwości dotyczących dostępu do intymnych informacji o pacjencie przez osoby mające wgląd do karty pacjenta), że mocą rozporządzania minister właściwy do spraw zdrowia nie będzie go uszczegółowiać, tylko </w:t>
            </w:r>
            <w:r w:rsidRPr="001941B0">
              <w:rPr>
                <w:rFonts w:cs="Calibri"/>
                <w:i/>
                <w:sz w:val="20"/>
                <w:szCs w:val="20"/>
              </w:rPr>
              <w:t>de facto</w:t>
            </w:r>
            <w:r w:rsidRPr="001941B0">
              <w:rPr>
                <w:rFonts w:cs="Calibri"/>
                <w:sz w:val="20"/>
                <w:szCs w:val="20"/>
              </w:rPr>
              <w:t xml:space="preserve"> ustalać. Będą to szczególne kategorie danych w rozumieniu art. 9 ust. 1 rozporządzenia 2016/679, w tym dane dotyczące zdrowia, które znajdą się w nowej formie dokumentacji medycznej. Powyższy przepis nie odpowiada zatem zasadzie zgodności z prawem, rzetelności i przejrzystości, ograniczenia celu, minimalizacji danych oraz rozliczalności.</w:t>
            </w:r>
          </w:p>
        </w:tc>
        <w:tc>
          <w:tcPr>
            <w:tcW w:w="2855" w:type="dxa"/>
            <w:shd w:val="clear" w:color="auto" w:fill="FFFFFF" w:themeFill="background1"/>
          </w:tcPr>
          <w:p w14:paraId="5BEBF880" w14:textId="77777777" w:rsidR="00520EA2" w:rsidRPr="001941B0" w:rsidRDefault="004D25DE" w:rsidP="00520EA2">
            <w:pPr>
              <w:autoSpaceDE w:val="0"/>
              <w:autoSpaceDN w:val="0"/>
              <w:adjustRightInd w:val="0"/>
              <w:spacing w:after="0" w:line="240" w:lineRule="auto"/>
              <w:rPr>
                <w:b/>
                <w:bCs/>
                <w:sz w:val="20"/>
                <w:szCs w:val="20"/>
              </w:rPr>
            </w:pPr>
            <w:r w:rsidRPr="001941B0">
              <w:rPr>
                <w:b/>
                <w:bCs/>
                <w:sz w:val="20"/>
                <w:szCs w:val="20"/>
              </w:rPr>
              <w:lastRenderedPageBreak/>
              <w:t>Wyjaśnienie</w:t>
            </w:r>
          </w:p>
          <w:p w14:paraId="6754B080" w14:textId="6F06DC79" w:rsidR="007C385C" w:rsidRPr="001941B0" w:rsidRDefault="007C385C" w:rsidP="00520EA2">
            <w:pPr>
              <w:autoSpaceDE w:val="0"/>
              <w:autoSpaceDN w:val="0"/>
              <w:adjustRightInd w:val="0"/>
              <w:spacing w:after="0" w:line="240" w:lineRule="auto"/>
              <w:rPr>
                <w:b/>
                <w:bCs/>
                <w:sz w:val="20"/>
                <w:szCs w:val="20"/>
              </w:rPr>
            </w:pPr>
            <w:r w:rsidRPr="001941B0">
              <w:rPr>
                <w:sz w:val="20"/>
                <w:szCs w:val="20"/>
              </w:rPr>
              <w:t xml:space="preserve">Informacje zawarte w karcie pacjenta, dotyczące zdrowia pacjenta są danymi, do których lekarz ma dostęp zgodnie z art. 35 ustawy SIOZ. </w:t>
            </w:r>
            <w:r w:rsidRPr="001941B0">
              <w:rPr>
                <w:sz w:val="20"/>
                <w:szCs w:val="20"/>
              </w:rPr>
              <w:lastRenderedPageBreak/>
              <w:t xml:space="preserve">Projektowane rozwiązanie ma na celu przedstawienie tych danych w formie ustrukturyzowanej. </w:t>
            </w:r>
          </w:p>
          <w:p w14:paraId="765901BB" w14:textId="6E4C739C" w:rsidR="00520EA2" w:rsidRPr="001941B0" w:rsidRDefault="00305F16" w:rsidP="00520EA2">
            <w:pPr>
              <w:autoSpaceDE w:val="0"/>
              <w:autoSpaceDN w:val="0"/>
              <w:adjustRightInd w:val="0"/>
              <w:spacing w:after="0" w:line="240" w:lineRule="auto"/>
              <w:rPr>
                <w:sz w:val="20"/>
                <w:szCs w:val="20"/>
              </w:rPr>
            </w:pPr>
            <w:r w:rsidRPr="001941B0">
              <w:rPr>
                <w:sz w:val="20"/>
                <w:szCs w:val="20"/>
              </w:rPr>
              <w:t xml:space="preserve">W projektowanym </w:t>
            </w:r>
            <w:r w:rsidR="00CA1540" w:rsidRPr="001941B0">
              <w:rPr>
                <w:sz w:val="20"/>
                <w:szCs w:val="20"/>
              </w:rPr>
              <w:t>akcie prawnym nie ma możliwości ujęcia wszystkich możliwych jednostek</w:t>
            </w:r>
            <w:r w:rsidRPr="001941B0">
              <w:rPr>
                <w:sz w:val="20"/>
                <w:szCs w:val="20"/>
              </w:rPr>
              <w:t xml:space="preserve"> </w:t>
            </w:r>
            <w:r w:rsidR="00CA1540" w:rsidRPr="001941B0">
              <w:rPr>
                <w:sz w:val="20"/>
                <w:szCs w:val="20"/>
              </w:rPr>
              <w:t>chorobowych, st</w:t>
            </w:r>
            <w:r w:rsidR="003E1CAC" w:rsidRPr="001941B0">
              <w:rPr>
                <w:sz w:val="20"/>
                <w:szCs w:val="20"/>
              </w:rPr>
              <w:t xml:space="preserve">ąd zapisy zostały </w:t>
            </w:r>
            <w:r w:rsidR="00A03C76" w:rsidRPr="001941B0">
              <w:rPr>
                <w:sz w:val="20"/>
                <w:szCs w:val="20"/>
              </w:rPr>
              <w:t xml:space="preserve">określone na właściwym poziomie ogólności. </w:t>
            </w:r>
          </w:p>
        </w:tc>
      </w:tr>
      <w:tr w:rsidR="00952A06" w:rsidRPr="001941B0" w14:paraId="7018696E" w14:textId="77777777" w:rsidTr="00DE7BB4">
        <w:tc>
          <w:tcPr>
            <w:tcW w:w="14316" w:type="dxa"/>
            <w:gridSpan w:val="5"/>
            <w:shd w:val="clear" w:color="auto" w:fill="ADADAD" w:themeFill="background2" w:themeFillShade="BF"/>
          </w:tcPr>
          <w:p w14:paraId="209786BB" w14:textId="19BFF7E6" w:rsidR="0063705A" w:rsidRPr="001941B0" w:rsidRDefault="0063705A" w:rsidP="006E0CB2">
            <w:pPr>
              <w:autoSpaceDE w:val="0"/>
              <w:autoSpaceDN w:val="0"/>
              <w:adjustRightInd w:val="0"/>
              <w:spacing w:after="0" w:line="240" w:lineRule="auto"/>
              <w:rPr>
                <w:rFonts w:cstheme="minorHAnsi"/>
                <w:sz w:val="20"/>
                <w:szCs w:val="20"/>
              </w:rPr>
            </w:pPr>
            <w:bookmarkStart w:id="6" w:name="ART_5"/>
            <w:r w:rsidRPr="001941B0">
              <w:rPr>
                <w:rFonts w:cstheme="minorHAnsi"/>
                <w:b/>
                <w:sz w:val="20"/>
                <w:szCs w:val="20"/>
              </w:rPr>
              <w:lastRenderedPageBreak/>
              <w:t>ART. 5</w:t>
            </w:r>
            <w:bookmarkEnd w:id="6"/>
          </w:p>
        </w:tc>
      </w:tr>
      <w:tr w:rsidR="00FC7212" w:rsidRPr="001941B0" w14:paraId="3B31845D" w14:textId="77777777" w:rsidTr="7139DBB9">
        <w:tc>
          <w:tcPr>
            <w:tcW w:w="1125" w:type="dxa"/>
            <w:shd w:val="clear" w:color="auto" w:fill="FFFFFF" w:themeFill="background1"/>
          </w:tcPr>
          <w:p w14:paraId="675E6B3F"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C4539FD" w14:textId="18CDA7B0"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Instytut Medycyny Pracy imienia prof. dr med. Jerzego Nofera w Łodzi</w:t>
            </w:r>
          </w:p>
        </w:tc>
        <w:tc>
          <w:tcPr>
            <w:tcW w:w="1949" w:type="dxa"/>
            <w:shd w:val="clear" w:color="auto" w:fill="FFFFFF" w:themeFill="background1"/>
          </w:tcPr>
          <w:p w14:paraId="76CE5A2D" w14:textId="042EF609"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Artykuł 5 pkt 1)</w:t>
            </w:r>
          </w:p>
        </w:tc>
        <w:tc>
          <w:tcPr>
            <w:tcW w:w="5652" w:type="dxa"/>
            <w:shd w:val="clear" w:color="auto" w:fill="FFFFFF" w:themeFill="background1"/>
          </w:tcPr>
          <w:p w14:paraId="77439113" w14:textId="45D154C9"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W artykule 5 ustęp 1) projektu ustawy proponujemy, by do elektronicznej dokumentacji medycznej, o której mowa w ustawie z dnia 28 kwietnia 2011 r. o systemie informacji w ochronie zdrowia (Dz. U. z 2025 r. poz. 302, 779, 1537 i 1705), po „orzeczeniach lekarskich, określonych w przepisach wydanych na podstawie art. 179 § 4 i art. 229 § 8 ustawy z dnia 26 czerwca 1974 r. – Kodeks pracy (Dz. U. z 2025 r. poz. 277, 807, 1423 i 1661 oraz z 2026 r. poz. 25)” dodać kolejny punkt o brzmieniu:</w:t>
            </w:r>
          </w:p>
          <w:p w14:paraId="7621861A"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„skierowania wydane przez pracodawcę, o których mowa w art. 229 § 4a ustawy z dnia 26 czerwca 1974 r. – Kodeks pracy”</w:t>
            </w:r>
          </w:p>
          <w:p w14:paraId="7F228B8D"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Powyższe motywujemy faktem, że samo orzeczenie lekarskie nie jest dokumentem wystarczającym do potwierdzenia istnienia bądź braku przeciwwskazań zdrowotnych do pracy na wskazanym stanowisku pracy i bez połączenia go ze skierowaniem na to badanie nie pozwala na jego użycie. Zgodnie z § 2 rozporządzenia Ministra Zdrowia i Opieki Społecznej z dnia 30 maja 1996 r. w sprawie przeprowadzania badań lekarskich pracowników, zakresu profilaktycznej opieki zdrowotnej nad pracownikami oraz orzeczeń lekarskich wydawanych do celów przewidzianych w Kodeksie pracy badania profilaktyczne kończą się orzeczeniem lekarskim stwierdzającym:</w:t>
            </w:r>
          </w:p>
          <w:p w14:paraId="6B50A704"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1)</w:t>
            </w:r>
            <w:r w:rsidRPr="001941B0">
              <w:rPr>
                <w:rFonts w:cs="Calibri"/>
                <w:bCs/>
                <w:iCs/>
                <w:sz w:val="20"/>
                <w:szCs w:val="20"/>
              </w:rPr>
              <w:tab/>
              <w:t xml:space="preserve"> brak przeciwwskazań do pracy na określonym stanowisku albo</w:t>
            </w:r>
          </w:p>
          <w:p w14:paraId="10243BF8"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2)</w:t>
            </w:r>
            <w:r w:rsidRPr="001941B0">
              <w:rPr>
                <w:rFonts w:cs="Calibri"/>
                <w:bCs/>
                <w:iCs/>
                <w:sz w:val="20"/>
                <w:szCs w:val="20"/>
              </w:rPr>
              <w:tab/>
              <w:t xml:space="preserve"> istnienie przeciwwskazań do pracy na określonym stanowisku</w:t>
            </w:r>
          </w:p>
          <w:p w14:paraId="591D41C7" w14:textId="77777777"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 w warunkach pracy opisanych w skierowaniu na badania lekarskie, o którym mowa w § 4.</w:t>
            </w:r>
          </w:p>
          <w:p w14:paraId="6566642F" w14:textId="52716155"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Orzeczenie lekarskie jest odpowiedzią na wydane przez pracodawcę skierowanie, w którym zawarty jest opis warunków pracy uwzględniający informacje o występowaniu na stanowisku lub stanowiskach pracy czynników niebezpiecznych, szkodliwych dla zdrowia lub czynników uciążliwych i innych wynikających ze sposobu wykonywania pracy, z podaniem wielkości narażenia oraz aktualnych wyników badań i pomiarów czynników szkodliwych dla </w:t>
            </w:r>
            <w:r w:rsidRPr="001941B0">
              <w:rPr>
                <w:rFonts w:cs="Calibri"/>
                <w:bCs/>
                <w:iCs/>
                <w:sz w:val="20"/>
                <w:szCs w:val="20"/>
              </w:rPr>
              <w:lastRenderedPageBreak/>
              <w:t>zdrowia, wykonanych na tych stanowiskach. Tylko łączny dostęp do tych dwóch dokumentów pozwala na określenie możliwości świadczenia pracy przez pracownika. Powyższe znajduje też potwierdzenie w ustawie z dnia 26 czerwca 1974 r. – Kodeks pracy. Zgodnie z art. 229 § 7 - pracodawca przechowuje orzeczenia wydane na podstawie badań lekarskich, o których mowa w § 1, 2 i 5, orzeczenia i skierowania uzyskane na podstawie § 13 oraz skierowania, o których mowa w § 4a.</w:t>
            </w:r>
          </w:p>
        </w:tc>
        <w:tc>
          <w:tcPr>
            <w:tcW w:w="2855" w:type="dxa"/>
            <w:shd w:val="clear" w:color="auto" w:fill="FFFFFF" w:themeFill="background1"/>
          </w:tcPr>
          <w:p w14:paraId="609F12A8" w14:textId="77777777" w:rsidR="003257C5" w:rsidRPr="001941B0" w:rsidRDefault="00406B1C" w:rsidP="006E0CB2">
            <w:pPr>
              <w:autoSpaceDE w:val="0"/>
              <w:autoSpaceDN w:val="0"/>
              <w:adjustRightInd w:val="0"/>
              <w:spacing w:after="0" w:line="240" w:lineRule="auto"/>
              <w:rPr>
                <w:rFonts w:cstheme="minorHAnsi"/>
                <w:b/>
                <w:iCs/>
                <w:sz w:val="20"/>
                <w:szCs w:val="20"/>
              </w:rPr>
            </w:pPr>
            <w:r w:rsidRPr="001941B0">
              <w:rPr>
                <w:rFonts w:cstheme="minorHAnsi"/>
                <w:b/>
                <w:sz w:val="20"/>
                <w:szCs w:val="20"/>
              </w:rPr>
              <w:lastRenderedPageBreak/>
              <w:t>Uwaga nieuwzględniona</w:t>
            </w:r>
            <w:r w:rsidR="003257C5" w:rsidRPr="001941B0">
              <w:rPr>
                <w:rFonts w:cstheme="minorHAnsi"/>
                <w:b/>
                <w:iCs/>
                <w:sz w:val="20"/>
                <w:szCs w:val="20"/>
              </w:rPr>
              <w:t xml:space="preserve"> </w:t>
            </w:r>
          </w:p>
          <w:p w14:paraId="241E5863" w14:textId="55B9C2BC" w:rsidR="0063705A" w:rsidRPr="001941B0" w:rsidRDefault="003257C5" w:rsidP="006E0CB2">
            <w:pPr>
              <w:autoSpaceDE w:val="0"/>
              <w:autoSpaceDN w:val="0"/>
              <w:adjustRightInd w:val="0"/>
              <w:spacing w:after="0" w:line="240" w:lineRule="auto"/>
              <w:rPr>
                <w:rFonts w:cstheme="minorHAnsi"/>
                <w:bCs/>
                <w:iCs/>
                <w:sz w:val="20"/>
                <w:szCs w:val="20"/>
              </w:rPr>
            </w:pPr>
            <w:r w:rsidRPr="001941B0">
              <w:rPr>
                <w:rFonts w:cstheme="minorHAnsi"/>
                <w:bCs/>
                <w:iCs/>
                <w:sz w:val="20"/>
                <w:szCs w:val="20"/>
              </w:rPr>
              <w:t>P</w:t>
            </w:r>
            <w:r w:rsidR="00406B1C" w:rsidRPr="001941B0">
              <w:rPr>
                <w:rFonts w:cstheme="minorHAnsi"/>
                <w:bCs/>
                <w:iCs/>
                <w:sz w:val="20"/>
                <w:szCs w:val="20"/>
              </w:rPr>
              <w:t>oza zakres projektowanej regulacji</w:t>
            </w:r>
            <w:r w:rsidR="009641C5" w:rsidRPr="001941B0">
              <w:rPr>
                <w:rFonts w:cstheme="minorHAnsi"/>
                <w:bCs/>
                <w:iCs/>
                <w:sz w:val="20"/>
                <w:szCs w:val="20"/>
              </w:rPr>
              <w:t xml:space="preserve"> </w:t>
            </w:r>
            <w:r w:rsidRPr="001941B0">
              <w:rPr>
                <w:rFonts w:cstheme="minorHAnsi"/>
                <w:bCs/>
                <w:iCs/>
                <w:sz w:val="20"/>
                <w:szCs w:val="20"/>
              </w:rPr>
              <w:t>-</w:t>
            </w:r>
            <w:r w:rsidR="009641C5" w:rsidRPr="001941B0">
              <w:rPr>
                <w:rFonts w:cstheme="minorHAnsi"/>
                <w:bCs/>
                <w:iCs/>
                <w:sz w:val="20"/>
                <w:szCs w:val="20"/>
              </w:rPr>
              <w:t xml:space="preserve"> wymaga zmiany szeregu innych ustaw/brak gotowości legislacyjnej i technologicznej</w:t>
            </w:r>
            <w:r w:rsidR="00406B1C" w:rsidRPr="001941B0">
              <w:rPr>
                <w:rFonts w:cstheme="minorHAnsi"/>
                <w:bCs/>
                <w:iCs/>
                <w:sz w:val="20"/>
                <w:szCs w:val="20"/>
              </w:rPr>
              <w:t>.</w:t>
            </w:r>
          </w:p>
        </w:tc>
      </w:tr>
      <w:tr w:rsidR="00FC7212" w:rsidRPr="001941B0" w14:paraId="3888AF19" w14:textId="77777777" w:rsidTr="7139DBB9">
        <w:tc>
          <w:tcPr>
            <w:tcW w:w="1125" w:type="dxa"/>
            <w:shd w:val="clear" w:color="auto" w:fill="FFFFFF" w:themeFill="background1"/>
          </w:tcPr>
          <w:p w14:paraId="052A874E"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5F9DDF6" w14:textId="77777777"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Naczelna Izba lekarska</w:t>
            </w:r>
          </w:p>
          <w:p w14:paraId="2B58E1FF" w14:textId="77777777" w:rsidR="00F27CC7" w:rsidRPr="001941B0" w:rsidRDefault="00F27CC7" w:rsidP="006E0CB2">
            <w:pPr>
              <w:autoSpaceDE w:val="0"/>
              <w:autoSpaceDN w:val="0"/>
              <w:adjustRightInd w:val="0"/>
              <w:spacing w:after="0" w:line="240" w:lineRule="auto"/>
              <w:rPr>
                <w:rFonts w:cs="Calibri"/>
                <w:bCs/>
                <w:sz w:val="20"/>
                <w:szCs w:val="20"/>
              </w:rPr>
            </w:pPr>
          </w:p>
          <w:p w14:paraId="4B95690B" w14:textId="78BD7098" w:rsidR="0063705A" w:rsidRPr="001941B0" w:rsidRDefault="0063705A" w:rsidP="006E0CB2">
            <w:pPr>
              <w:autoSpaceDE w:val="0"/>
              <w:autoSpaceDN w:val="0"/>
              <w:adjustRightInd w:val="0"/>
              <w:spacing w:after="0" w:line="240" w:lineRule="auto"/>
              <w:rPr>
                <w:rFonts w:cs="Calibri"/>
                <w:bCs/>
                <w:sz w:val="20"/>
                <w:szCs w:val="20"/>
              </w:rPr>
            </w:pPr>
          </w:p>
        </w:tc>
        <w:tc>
          <w:tcPr>
            <w:tcW w:w="1949" w:type="dxa"/>
            <w:shd w:val="clear" w:color="auto" w:fill="FFFFFF" w:themeFill="background1"/>
          </w:tcPr>
          <w:p w14:paraId="3DEB9D31" w14:textId="4EF55F6B"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 5 pkt 1</w:t>
            </w:r>
          </w:p>
        </w:tc>
        <w:tc>
          <w:tcPr>
            <w:tcW w:w="5652" w:type="dxa"/>
            <w:shd w:val="clear" w:color="auto" w:fill="FFFFFF" w:themeFill="background1"/>
          </w:tcPr>
          <w:p w14:paraId="12FA449C" w14:textId="04CFA6A8" w:rsidR="0063705A" w:rsidRPr="001941B0" w:rsidRDefault="0063705A" w:rsidP="006E0CB2">
            <w:pPr>
              <w:autoSpaceDE w:val="0"/>
              <w:autoSpaceDN w:val="0"/>
              <w:adjustRightInd w:val="0"/>
              <w:spacing w:after="0" w:line="240" w:lineRule="auto"/>
              <w:rPr>
                <w:rFonts w:cs="Calibri"/>
                <w:bCs/>
                <w:iCs/>
                <w:sz w:val="20"/>
                <w:szCs w:val="20"/>
              </w:rPr>
            </w:pPr>
            <w:r w:rsidRPr="001941B0">
              <w:rPr>
                <w:rFonts w:cs="Calibri"/>
                <w:bCs/>
                <w:sz w:val="20"/>
                <w:szCs w:val="20"/>
              </w:rPr>
              <w:t>Wątpliwości budzi art. 5 pkt 1 ustawy przewidujący zmiany w art. 2 pkt 6 ustawy z dnia 28 kwietnia 2011 r. o systemie informacji w ochronie zdrowia co do definicji elektronicznej dokumentacji medycznej. Niezrozumiałe jest, dlaczego wyodrębniono do osobnego punktu „opis konsultacji medycznej, o której mowa w przepisach wydanych na podstawie art. 30 ustawy z dnia 6 listopada 2008 r. o prawach pacjenta i Rzeczniku Praw Pacjenta, opatrzony kwalifikowanym podpisem elektronicznym, podpisem osobistym albo z wykorzystaniem sposobu potwierdzania pochodzenia oraz integralności danych dostępnego w systemie teleinformatycznym udostępnionym bezpłatnie przez Zakład Ubezpieczeń Społecznych". Wynika z tego, że opis konsultacji medycznej będzie to elektroniczna dokumentacja medyczna, która - w przeciwieństwie do pozostałych dokumentów wchodzących w skład elektronicznej dokumentacji medycznej - nie może być podpisana podpisem zaufanym. Wątpliwości budzi także proponowana zmiana art. 2 pkt 6 ustawy o systemie informacji w ochronie zdrowia przewidująca poszerzenie zakresu e</w:t>
            </w:r>
            <w:r w:rsidR="00C33BEC" w:rsidRPr="001941B0">
              <w:rPr>
                <w:rFonts w:cs="Calibri"/>
                <w:bCs/>
                <w:sz w:val="20"/>
                <w:szCs w:val="20"/>
              </w:rPr>
              <w:t>l</w:t>
            </w:r>
            <w:r w:rsidRPr="001941B0">
              <w:rPr>
                <w:rFonts w:cs="Calibri"/>
                <w:bCs/>
                <w:sz w:val="20"/>
                <w:szCs w:val="20"/>
              </w:rPr>
              <w:t xml:space="preserve">ektronicznej dokumentacji medycznej o orzeczenia lekarskie, określone w przepisach wydanych na podstawie art. 179 </w:t>
            </w:r>
            <w:r w:rsidR="00E9126D" w:rsidRPr="001941B0">
              <w:rPr>
                <w:rFonts w:cs="Calibri"/>
                <w:bCs/>
                <w:sz w:val="20"/>
                <w:szCs w:val="20"/>
              </w:rPr>
              <w:t>§</w:t>
            </w:r>
            <w:r w:rsidRPr="001941B0">
              <w:rPr>
                <w:rFonts w:cs="Calibri"/>
                <w:bCs/>
                <w:sz w:val="20"/>
                <w:szCs w:val="20"/>
              </w:rPr>
              <w:t xml:space="preserve"> 4 i art. 229 </w:t>
            </w:r>
            <w:r w:rsidR="00E9126D" w:rsidRPr="001941B0">
              <w:rPr>
                <w:rFonts w:cs="Calibri"/>
                <w:bCs/>
                <w:sz w:val="20"/>
                <w:szCs w:val="20"/>
              </w:rPr>
              <w:t>§</w:t>
            </w:r>
            <w:r w:rsidRPr="001941B0">
              <w:rPr>
                <w:rFonts w:cs="Calibri"/>
                <w:bCs/>
                <w:sz w:val="20"/>
                <w:szCs w:val="20"/>
              </w:rPr>
              <w:t xml:space="preserve"> 8 Kodeksu pracy. Po pierwsze, odesłane do art. 179 </w:t>
            </w:r>
            <w:r w:rsidR="00E9126D" w:rsidRPr="001941B0">
              <w:rPr>
                <w:rFonts w:cs="Calibri"/>
                <w:bCs/>
                <w:sz w:val="20"/>
                <w:szCs w:val="20"/>
              </w:rPr>
              <w:t>§</w:t>
            </w:r>
            <w:r w:rsidRPr="001941B0">
              <w:rPr>
                <w:rFonts w:cs="Calibri"/>
                <w:bCs/>
                <w:sz w:val="20"/>
                <w:szCs w:val="20"/>
              </w:rPr>
              <w:t xml:space="preserve"> 4 kodeksu pracy jest nieprawidłowe — powinno być odesłanie do art. 179 </w:t>
            </w:r>
            <w:r w:rsidR="00E9126D" w:rsidRPr="001941B0">
              <w:rPr>
                <w:rFonts w:cs="Calibri"/>
                <w:bCs/>
                <w:sz w:val="20"/>
                <w:szCs w:val="20"/>
              </w:rPr>
              <w:t>§</w:t>
            </w:r>
            <w:r w:rsidRPr="001941B0">
              <w:rPr>
                <w:rFonts w:cs="Calibri"/>
                <w:bCs/>
                <w:sz w:val="20"/>
                <w:szCs w:val="20"/>
              </w:rPr>
              <w:t xml:space="preserve"> 3 i </w:t>
            </w:r>
            <w:r w:rsidR="00E9126D" w:rsidRPr="001941B0">
              <w:rPr>
                <w:rFonts w:cs="Calibri"/>
                <w:bCs/>
                <w:sz w:val="20"/>
                <w:szCs w:val="20"/>
              </w:rPr>
              <w:t>§</w:t>
            </w:r>
            <w:r w:rsidRPr="001941B0">
              <w:rPr>
                <w:rFonts w:cs="Calibri"/>
                <w:bCs/>
                <w:sz w:val="20"/>
                <w:szCs w:val="20"/>
              </w:rPr>
              <w:t xml:space="preserve"> 7 kodeksu pracy, które przewidują możliwość wydania przez lekarza zaświadczenia stwierdzającego przeciwwskazania zdrowotne do wykonywania dotychczasowej pracy przez pracownicę w ciąży lub karmiącą </w:t>
            </w:r>
            <w:r w:rsidRPr="001941B0">
              <w:rPr>
                <w:rFonts w:cs="Calibri"/>
                <w:bCs/>
                <w:sz w:val="20"/>
                <w:szCs w:val="20"/>
              </w:rPr>
              <w:lastRenderedPageBreak/>
              <w:t>dziecko piersią. Po drugie, dotychczasowy obieg zaświadczeń wydawanych przez lekarzy w związku z zatrudnieniem pracowników (profilaktyczne badania wstępne i okresowe związane z zatrudnieniem) czy w związku z ograniczeniami wykonywania przez pracownice określonych prac w okresie ciąży i karmienia piersią nie wskazuje na to, aby była rzeczywista potrzeba podnoszenia wymogów technologicznych podpisywania tych dokumentów wystawianych przez lekarzy do rangi elektronicznej dokumentacji medycznej.</w:t>
            </w:r>
            <w:r w:rsidR="006E753A" w:rsidRPr="001941B0">
              <w:rPr>
                <w:rFonts w:cs="Calibri"/>
                <w:bCs/>
                <w:sz w:val="20"/>
                <w:szCs w:val="20"/>
              </w:rPr>
              <w:t xml:space="preserve"> </w:t>
            </w:r>
          </w:p>
        </w:tc>
        <w:tc>
          <w:tcPr>
            <w:tcW w:w="2855" w:type="dxa"/>
            <w:shd w:val="clear" w:color="auto" w:fill="FFFFFF" w:themeFill="background1"/>
          </w:tcPr>
          <w:p w14:paraId="5AD82B4A" w14:textId="23F2FC7A" w:rsidR="000601B4" w:rsidRPr="001941B0" w:rsidRDefault="00445BA2" w:rsidP="006E0CB2">
            <w:pPr>
              <w:autoSpaceDE w:val="0"/>
              <w:autoSpaceDN w:val="0"/>
              <w:adjustRightInd w:val="0"/>
              <w:spacing w:after="0" w:line="240" w:lineRule="auto"/>
              <w:rPr>
                <w:b/>
                <w:sz w:val="20"/>
                <w:szCs w:val="20"/>
              </w:rPr>
            </w:pPr>
            <w:r w:rsidRPr="001941B0">
              <w:rPr>
                <w:b/>
                <w:sz w:val="20"/>
                <w:szCs w:val="20"/>
              </w:rPr>
              <w:lastRenderedPageBreak/>
              <w:t>Uwaga częściowo uwzględniona</w:t>
            </w:r>
          </w:p>
          <w:p w14:paraId="3522B980" w14:textId="77777777" w:rsidR="00445BA2" w:rsidRPr="001941B0" w:rsidRDefault="00445BA2" w:rsidP="006E0CB2">
            <w:pPr>
              <w:autoSpaceDE w:val="0"/>
              <w:autoSpaceDN w:val="0"/>
              <w:adjustRightInd w:val="0"/>
              <w:spacing w:after="0" w:line="240" w:lineRule="auto"/>
              <w:rPr>
                <w:sz w:val="20"/>
                <w:szCs w:val="20"/>
              </w:rPr>
            </w:pPr>
          </w:p>
          <w:p w14:paraId="28A6CB7A" w14:textId="26E91FE2" w:rsidR="0063705A" w:rsidRPr="001941B0" w:rsidRDefault="000601B4" w:rsidP="006E0CB2">
            <w:pPr>
              <w:autoSpaceDE w:val="0"/>
              <w:autoSpaceDN w:val="0"/>
              <w:adjustRightInd w:val="0"/>
              <w:spacing w:after="0" w:line="240" w:lineRule="auto"/>
              <w:rPr>
                <w:sz w:val="20"/>
                <w:szCs w:val="20"/>
              </w:rPr>
            </w:pPr>
            <w:r w:rsidRPr="001941B0">
              <w:rPr>
                <w:sz w:val="20"/>
                <w:szCs w:val="20"/>
              </w:rPr>
              <w:t xml:space="preserve">Ograniczenia techniczne </w:t>
            </w:r>
            <w:r w:rsidR="00423C8F" w:rsidRPr="001941B0">
              <w:rPr>
                <w:sz w:val="20"/>
                <w:szCs w:val="20"/>
              </w:rPr>
              <w:t>podpisu p</w:t>
            </w:r>
            <w:r w:rsidR="004C4F74" w:rsidRPr="001941B0">
              <w:rPr>
                <w:sz w:val="20"/>
                <w:szCs w:val="20"/>
              </w:rPr>
              <w:t>rofil</w:t>
            </w:r>
            <w:r w:rsidR="00423C8F" w:rsidRPr="001941B0">
              <w:rPr>
                <w:sz w:val="20"/>
                <w:szCs w:val="20"/>
              </w:rPr>
              <w:t>em</w:t>
            </w:r>
            <w:r w:rsidR="004C4F74" w:rsidRPr="001941B0">
              <w:rPr>
                <w:sz w:val="20"/>
                <w:szCs w:val="20"/>
              </w:rPr>
              <w:t xml:space="preserve"> zaufany</w:t>
            </w:r>
            <w:r w:rsidR="00423C8F" w:rsidRPr="001941B0">
              <w:rPr>
                <w:sz w:val="20"/>
                <w:szCs w:val="20"/>
              </w:rPr>
              <w:t>m</w:t>
            </w:r>
            <w:r w:rsidR="004C4F74" w:rsidRPr="001941B0">
              <w:rPr>
                <w:sz w:val="20"/>
                <w:szCs w:val="20"/>
              </w:rPr>
              <w:t xml:space="preserve"> u</w:t>
            </w:r>
            <w:r w:rsidR="00423C8F" w:rsidRPr="001941B0">
              <w:rPr>
                <w:sz w:val="20"/>
                <w:szCs w:val="20"/>
              </w:rPr>
              <w:t>nie</w:t>
            </w:r>
            <w:r w:rsidR="004C4F74" w:rsidRPr="001941B0">
              <w:rPr>
                <w:sz w:val="20"/>
                <w:szCs w:val="20"/>
              </w:rPr>
              <w:t>możliwia</w:t>
            </w:r>
            <w:r w:rsidR="00423C8F" w:rsidRPr="001941B0">
              <w:rPr>
                <w:sz w:val="20"/>
                <w:szCs w:val="20"/>
              </w:rPr>
              <w:t>ją</w:t>
            </w:r>
            <w:r w:rsidR="004C4F74" w:rsidRPr="001941B0">
              <w:rPr>
                <w:sz w:val="20"/>
                <w:szCs w:val="20"/>
              </w:rPr>
              <w:t xml:space="preserve"> </w:t>
            </w:r>
            <w:r w:rsidR="00AD4EE4" w:rsidRPr="001941B0">
              <w:rPr>
                <w:sz w:val="20"/>
                <w:szCs w:val="20"/>
              </w:rPr>
              <w:t xml:space="preserve">jednoczesny podpis kilku </w:t>
            </w:r>
            <w:r w:rsidR="004542C4" w:rsidRPr="001941B0">
              <w:rPr>
                <w:sz w:val="20"/>
                <w:szCs w:val="20"/>
              </w:rPr>
              <w:t>lekarzy</w:t>
            </w:r>
            <w:r w:rsidR="00423C8F" w:rsidRPr="001941B0">
              <w:rPr>
                <w:sz w:val="20"/>
                <w:szCs w:val="20"/>
              </w:rPr>
              <w:t>.</w:t>
            </w:r>
            <w:r w:rsidR="004542C4" w:rsidRPr="001941B0">
              <w:rPr>
                <w:sz w:val="20"/>
                <w:szCs w:val="20"/>
              </w:rPr>
              <w:t xml:space="preserve"> Jeśli ograniczenie techniczne zostanie usunięte</w:t>
            </w:r>
            <w:r w:rsidR="00C9413A" w:rsidRPr="001941B0">
              <w:rPr>
                <w:sz w:val="20"/>
                <w:szCs w:val="20"/>
              </w:rPr>
              <w:t xml:space="preserve"> wówczas</w:t>
            </w:r>
            <w:r w:rsidR="00172EA1" w:rsidRPr="001941B0">
              <w:rPr>
                <w:sz w:val="20"/>
                <w:szCs w:val="20"/>
              </w:rPr>
              <w:t xml:space="preserve"> </w:t>
            </w:r>
            <w:r w:rsidR="00240760" w:rsidRPr="001941B0">
              <w:rPr>
                <w:sz w:val="20"/>
                <w:szCs w:val="20"/>
              </w:rPr>
              <w:t>możliwe będzie rozszerzenie regulacji o podpis</w:t>
            </w:r>
            <w:r w:rsidR="001106E3" w:rsidRPr="001941B0">
              <w:rPr>
                <w:sz w:val="20"/>
                <w:szCs w:val="20"/>
              </w:rPr>
              <w:t xml:space="preserve"> zaufany</w:t>
            </w:r>
            <w:r w:rsidR="00445BA2" w:rsidRPr="001941B0">
              <w:rPr>
                <w:sz w:val="20"/>
                <w:szCs w:val="20"/>
              </w:rPr>
              <w:t xml:space="preserve"> – w tym zakresie uwaga nieuwzględniona.</w:t>
            </w:r>
          </w:p>
          <w:p w14:paraId="30BC09B4" w14:textId="77777777" w:rsidR="00445BA2" w:rsidRPr="001941B0" w:rsidRDefault="00445BA2" w:rsidP="006E0CB2">
            <w:pPr>
              <w:autoSpaceDE w:val="0"/>
              <w:autoSpaceDN w:val="0"/>
              <w:adjustRightInd w:val="0"/>
              <w:spacing w:after="0" w:line="240" w:lineRule="auto"/>
              <w:rPr>
                <w:sz w:val="20"/>
                <w:szCs w:val="20"/>
              </w:rPr>
            </w:pPr>
          </w:p>
          <w:p w14:paraId="2CEB5AD8" w14:textId="7FA71E91" w:rsidR="00445BA2" w:rsidRPr="001941B0" w:rsidRDefault="00F45774" w:rsidP="006E0CB2">
            <w:pPr>
              <w:autoSpaceDE w:val="0"/>
              <w:autoSpaceDN w:val="0"/>
              <w:adjustRightInd w:val="0"/>
              <w:spacing w:after="0" w:line="240" w:lineRule="auto"/>
              <w:rPr>
                <w:sz w:val="20"/>
                <w:szCs w:val="20"/>
              </w:rPr>
            </w:pPr>
            <w:r w:rsidRPr="001941B0">
              <w:rPr>
                <w:sz w:val="20"/>
                <w:szCs w:val="20"/>
              </w:rPr>
              <w:t xml:space="preserve">Odwołania </w:t>
            </w:r>
            <w:r w:rsidR="00600E6D" w:rsidRPr="001941B0">
              <w:rPr>
                <w:sz w:val="20"/>
                <w:szCs w:val="20"/>
              </w:rPr>
              <w:t xml:space="preserve">do przepisów kodeksowych zostaną </w:t>
            </w:r>
            <w:r w:rsidR="66139BF0" w:rsidRPr="001941B0">
              <w:rPr>
                <w:sz w:val="20"/>
                <w:szCs w:val="20"/>
              </w:rPr>
              <w:t>poprawio</w:t>
            </w:r>
            <w:r w:rsidR="00600E6D" w:rsidRPr="001941B0">
              <w:rPr>
                <w:sz w:val="20"/>
                <w:szCs w:val="20"/>
              </w:rPr>
              <w:t xml:space="preserve">ne. </w:t>
            </w:r>
          </w:p>
          <w:p w14:paraId="2626C60D" w14:textId="7D6C069B" w:rsidR="00446C4B" w:rsidRPr="001941B0" w:rsidRDefault="00446C4B" w:rsidP="006E0CB2">
            <w:pPr>
              <w:autoSpaceDE w:val="0"/>
              <w:autoSpaceDN w:val="0"/>
              <w:adjustRightInd w:val="0"/>
              <w:spacing w:after="0" w:line="240" w:lineRule="auto"/>
              <w:rPr>
                <w:sz w:val="20"/>
                <w:szCs w:val="20"/>
              </w:rPr>
            </w:pPr>
          </w:p>
        </w:tc>
      </w:tr>
      <w:tr w:rsidR="00FC7212" w:rsidRPr="001941B0" w14:paraId="0C6C0F09" w14:textId="77777777" w:rsidTr="7139DBB9">
        <w:tc>
          <w:tcPr>
            <w:tcW w:w="1125" w:type="dxa"/>
            <w:shd w:val="clear" w:color="auto" w:fill="FFFFFF" w:themeFill="background1"/>
          </w:tcPr>
          <w:p w14:paraId="27F3945C" w14:textId="77777777" w:rsidR="00E6602F" w:rsidRPr="001941B0" w:rsidRDefault="00E6602F"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68F60E4" w14:textId="5DC4CBAE" w:rsidR="00E6602F" w:rsidRPr="001941B0" w:rsidRDefault="00CA3EFD"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61E45B83" w14:textId="77777777" w:rsidR="00E6602F" w:rsidRPr="001941B0" w:rsidRDefault="00CA3EFD" w:rsidP="006E0CB2">
            <w:pPr>
              <w:autoSpaceDE w:val="0"/>
              <w:autoSpaceDN w:val="0"/>
              <w:adjustRightInd w:val="0"/>
              <w:spacing w:after="0" w:line="240" w:lineRule="auto"/>
              <w:rPr>
                <w:rFonts w:cs="Calibri"/>
                <w:sz w:val="20"/>
                <w:szCs w:val="20"/>
              </w:rPr>
            </w:pPr>
            <w:r w:rsidRPr="001941B0">
              <w:rPr>
                <w:rFonts w:cs="Calibri"/>
                <w:sz w:val="20"/>
                <w:szCs w:val="20"/>
              </w:rPr>
              <w:t>Art. 5 pkt 1 lit b</w:t>
            </w:r>
          </w:p>
          <w:p w14:paraId="0584F202" w14:textId="68CCAA92" w:rsidR="00D118F5" w:rsidRPr="001941B0" w:rsidRDefault="00D118F5"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7F411CFD" w14:textId="25931FDB" w:rsidR="00D118F5" w:rsidRPr="001941B0" w:rsidRDefault="00D3683C" w:rsidP="00D118F5">
            <w:pPr>
              <w:autoSpaceDE w:val="0"/>
              <w:autoSpaceDN w:val="0"/>
              <w:adjustRightInd w:val="0"/>
              <w:spacing w:after="0" w:line="240" w:lineRule="auto"/>
              <w:rPr>
                <w:rFonts w:cs="Calibri"/>
                <w:bCs/>
                <w:sz w:val="20"/>
                <w:szCs w:val="20"/>
              </w:rPr>
            </w:pPr>
            <w:r w:rsidRPr="001941B0">
              <w:rPr>
                <w:rFonts w:cs="Calibri"/>
                <w:bCs/>
                <w:sz w:val="20"/>
                <w:szCs w:val="20"/>
              </w:rPr>
              <w:t>1.</w:t>
            </w:r>
            <w:r w:rsidR="00D118F5" w:rsidRPr="001941B0">
              <w:rPr>
                <w:rFonts w:cs="Calibri"/>
                <w:bCs/>
                <w:sz w:val="20"/>
                <w:szCs w:val="20"/>
              </w:rPr>
              <w:t>Zgodnie z art. 5 projektu ustawy, wprowadzającym zmiany w art. 2 pkt 6 lit. B ustawy z dnia 28 kwietnia 2011 r. o systemie informacji w ochronie zdrowia (Dz. U. z 2025 r. poz. 302 ze zm.), „elektroniczna dokumentacja medyczna – następujące</w:t>
            </w:r>
          </w:p>
          <w:p w14:paraId="120371B0" w14:textId="0F88CD4F" w:rsidR="00D118F5" w:rsidRPr="001941B0" w:rsidRDefault="00D118F5" w:rsidP="00D118F5">
            <w:pPr>
              <w:autoSpaceDE w:val="0"/>
              <w:autoSpaceDN w:val="0"/>
              <w:adjustRightInd w:val="0"/>
              <w:spacing w:after="0" w:line="240" w:lineRule="auto"/>
              <w:rPr>
                <w:rFonts w:cs="Calibri"/>
                <w:bCs/>
                <w:sz w:val="20"/>
                <w:szCs w:val="20"/>
              </w:rPr>
            </w:pPr>
            <w:r w:rsidRPr="001941B0">
              <w:rPr>
                <w:rFonts w:cs="Calibri"/>
                <w:bCs/>
                <w:sz w:val="20"/>
                <w:szCs w:val="20"/>
              </w:rPr>
              <w:t>dokumenty wytworzone w postaci elektronicznej: (…) opatrzone kwalifikowanym podpisem elektronicznym, podpisem zaufanym, podpisem osobistym albo z wykorzystaniem sposobu potwierdzania pochodzenia oraz integralności danych dostępnego w systemie teleinformatycznym udostępnionym bezpłatnie przez Zakład Ubezpieczeń Społecznych:(…)”.</w:t>
            </w:r>
          </w:p>
          <w:p w14:paraId="578B5751" w14:textId="6A0C0A78" w:rsidR="00D118F5" w:rsidRPr="001941B0" w:rsidRDefault="00D118F5" w:rsidP="00D118F5">
            <w:pPr>
              <w:autoSpaceDE w:val="0"/>
              <w:autoSpaceDN w:val="0"/>
              <w:adjustRightInd w:val="0"/>
              <w:spacing w:after="0" w:line="240" w:lineRule="auto"/>
              <w:rPr>
                <w:rFonts w:cs="Calibri"/>
                <w:bCs/>
                <w:sz w:val="20"/>
                <w:szCs w:val="20"/>
              </w:rPr>
            </w:pPr>
            <w:r w:rsidRPr="001941B0">
              <w:rPr>
                <w:rFonts w:cs="Calibri"/>
                <w:bCs/>
                <w:sz w:val="20"/>
                <w:szCs w:val="20"/>
              </w:rPr>
              <w:t>Przepis powinien odsyłać do przepisów prawa powszechnie obowiązującego regulujących funkcjonowanie systemu teleinformatycznego ZUS, który umożliwia potwierdzanie pochodzenia oraz integralności danych zawartych w dokumentacji</w:t>
            </w:r>
            <w:r w:rsidR="00795D79" w:rsidRPr="001941B0">
              <w:rPr>
                <w:rFonts w:cs="Calibri"/>
                <w:bCs/>
                <w:sz w:val="20"/>
                <w:szCs w:val="20"/>
              </w:rPr>
              <w:t xml:space="preserve"> </w:t>
            </w:r>
            <w:r w:rsidRPr="001941B0">
              <w:rPr>
                <w:rFonts w:cs="Calibri"/>
                <w:bCs/>
                <w:sz w:val="20"/>
                <w:szCs w:val="20"/>
              </w:rPr>
              <w:t>medycznej. W omawianym zakresie projektowany przepis powiela regulacje obecnie obowiązującego art. 2 pkt 6 ustawy o systemie informacji w ochronie zdrowia, nie zmienia to jednak faktu, że zakładana projektowaną ustawą reforma usług dotyczących e-zdrowia, oprócz wprowadzenia nowych rozwiązań teleinformatycznych, powinna również objąć przegląd funkcjonujących obecnie regulacji dotyczących funkcjonowania systemów teleinformatycznych, w których przetwarzane są szczególne kategorie danych w rozumieniu art. 9 ust. 1 rozporządzenia 2016/679. Dlatego organ nadzorczy wskazuje na</w:t>
            </w:r>
          </w:p>
          <w:p w14:paraId="1B52D77F" w14:textId="06A157AE" w:rsidR="00D118F5" w:rsidRPr="001941B0" w:rsidRDefault="00D118F5" w:rsidP="00D118F5">
            <w:pPr>
              <w:autoSpaceDE w:val="0"/>
              <w:autoSpaceDN w:val="0"/>
              <w:adjustRightInd w:val="0"/>
              <w:spacing w:after="0" w:line="240" w:lineRule="auto"/>
              <w:rPr>
                <w:rFonts w:cs="Calibri"/>
                <w:bCs/>
                <w:sz w:val="20"/>
                <w:szCs w:val="20"/>
              </w:rPr>
            </w:pPr>
            <w:r w:rsidRPr="001941B0">
              <w:rPr>
                <w:rFonts w:cs="Calibri"/>
                <w:bCs/>
                <w:sz w:val="20"/>
                <w:szCs w:val="20"/>
              </w:rPr>
              <w:lastRenderedPageBreak/>
              <w:t>konieczność przyjęcia pełnej i kompleksowej regulacji funkcjonowania systemów teleinformatycznych używanych przez podmioty publiczne, takich jak wskazany w omawianym przepisie system ZUS, zgodnie z zasadą zgodności z prawem, rzetelności i</w:t>
            </w:r>
          </w:p>
          <w:p w14:paraId="5844EEC6" w14:textId="5421F568" w:rsidR="00E6602F" w:rsidRPr="001941B0" w:rsidRDefault="00D118F5" w:rsidP="00D118F5">
            <w:pPr>
              <w:autoSpaceDE w:val="0"/>
              <w:autoSpaceDN w:val="0"/>
              <w:adjustRightInd w:val="0"/>
              <w:spacing w:after="0" w:line="240" w:lineRule="auto"/>
              <w:rPr>
                <w:rFonts w:cs="Calibri"/>
                <w:bCs/>
                <w:sz w:val="20"/>
                <w:szCs w:val="20"/>
              </w:rPr>
            </w:pPr>
            <w:r w:rsidRPr="001941B0">
              <w:rPr>
                <w:rFonts w:cs="Calibri"/>
                <w:bCs/>
                <w:sz w:val="20"/>
                <w:szCs w:val="20"/>
              </w:rPr>
              <w:t>przejrzystości.</w:t>
            </w:r>
          </w:p>
        </w:tc>
        <w:tc>
          <w:tcPr>
            <w:tcW w:w="2855" w:type="dxa"/>
            <w:shd w:val="clear" w:color="auto" w:fill="FFFFFF" w:themeFill="background1"/>
          </w:tcPr>
          <w:p w14:paraId="637004DF" w14:textId="77777777" w:rsidR="00A30589" w:rsidRPr="001941B0" w:rsidRDefault="00A30589"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6788F6AC" w14:textId="4B540F3B" w:rsidR="00E6602F" w:rsidRPr="001941B0" w:rsidRDefault="00AE4B70" w:rsidP="006E0CB2">
            <w:pPr>
              <w:autoSpaceDE w:val="0"/>
              <w:autoSpaceDN w:val="0"/>
              <w:adjustRightInd w:val="0"/>
              <w:spacing w:after="0" w:line="240" w:lineRule="auto"/>
              <w:rPr>
                <w:sz w:val="20"/>
                <w:szCs w:val="20"/>
              </w:rPr>
            </w:pPr>
            <w:r w:rsidRPr="001941B0">
              <w:rPr>
                <w:sz w:val="20"/>
                <w:szCs w:val="20"/>
              </w:rPr>
              <w:t>Poza zakresem projektowanej regulacji</w:t>
            </w:r>
            <w:r w:rsidR="00E47B16" w:rsidRPr="001941B0">
              <w:rPr>
                <w:sz w:val="20"/>
                <w:szCs w:val="20"/>
              </w:rPr>
              <w:t>.</w:t>
            </w:r>
          </w:p>
        </w:tc>
      </w:tr>
      <w:tr w:rsidR="00FC7212" w:rsidRPr="001941B0" w14:paraId="720DAB20" w14:textId="77777777" w:rsidTr="7139DBB9">
        <w:tc>
          <w:tcPr>
            <w:tcW w:w="1125" w:type="dxa"/>
            <w:shd w:val="clear" w:color="auto" w:fill="FFFFFF" w:themeFill="background1"/>
          </w:tcPr>
          <w:p w14:paraId="28116A01" w14:textId="77777777" w:rsidR="00CB170F" w:rsidRPr="001941B0" w:rsidRDefault="00CB170F"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F1C7564" w14:textId="15945A46" w:rsidR="00CB170F" w:rsidRPr="001941B0" w:rsidRDefault="00CB170F"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689F90EB" w14:textId="72356767" w:rsidR="00CB170F" w:rsidRPr="001941B0" w:rsidRDefault="005C3A59" w:rsidP="006E0CB2">
            <w:pPr>
              <w:autoSpaceDE w:val="0"/>
              <w:autoSpaceDN w:val="0"/>
              <w:adjustRightInd w:val="0"/>
              <w:spacing w:after="0" w:line="240" w:lineRule="auto"/>
              <w:rPr>
                <w:rFonts w:cs="Calibri"/>
                <w:sz w:val="20"/>
                <w:szCs w:val="20"/>
                <w:lang w:val="en-US"/>
              </w:rPr>
            </w:pPr>
            <w:r>
              <w:rPr>
                <w:rFonts w:cs="Calibri"/>
                <w:sz w:val="20"/>
                <w:szCs w:val="20"/>
                <w:lang w:val="en-US"/>
              </w:rPr>
              <w:t>A</w:t>
            </w:r>
            <w:r w:rsidR="00CB170F" w:rsidRPr="001941B0">
              <w:rPr>
                <w:rFonts w:cs="Calibri"/>
                <w:sz w:val="20"/>
                <w:szCs w:val="20"/>
                <w:lang w:val="en-US"/>
              </w:rPr>
              <w:t xml:space="preserve">rt. 5 pkt 2 lit. </w:t>
            </w:r>
            <w:r w:rsidR="00737E93" w:rsidRPr="001941B0">
              <w:rPr>
                <w:rFonts w:cs="Calibri"/>
                <w:sz w:val="20"/>
                <w:szCs w:val="20"/>
                <w:lang w:val="en-US"/>
              </w:rPr>
              <w:t>B</w:t>
            </w:r>
          </w:p>
          <w:p w14:paraId="415B88CF" w14:textId="77777777" w:rsidR="00737E93" w:rsidRPr="001941B0" w:rsidRDefault="00737E93" w:rsidP="006E0CB2">
            <w:pPr>
              <w:autoSpaceDE w:val="0"/>
              <w:autoSpaceDN w:val="0"/>
              <w:adjustRightInd w:val="0"/>
              <w:spacing w:after="0" w:line="240" w:lineRule="auto"/>
              <w:rPr>
                <w:rFonts w:cs="Calibri"/>
                <w:sz w:val="20"/>
                <w:szCs w:val="20"/>
                <w:lang w:val="en-US"/>
              </w:rPr>
            </w:pPr>
          </w:p>
          <w:p w14:paraId="732190AE" w14:textId="77777777" w:rsidR="00737E93" w:rsidRPr="001941B0" w:rsidRDefault="00737E93" w:rsidP="006E0CB2">
            <w:pPr>
              <w:autoSpaceDE w:val="0"/>
              <w:autoSpaceDN w:val="0"/>
              <w:adjustRightInd w:val="0"/>
              <w:spacing w:after="0" w:line="240" w:lineRule="auto"/>
              <w:rPr>
                <w:rFonts w:cs="Calibri"/>
                <w:sz w:val="20"/>
                <w:szCs w:val="20"/>
                <w:lang w:val="en-US"/>
              </w:rPr>
            </w:pPr>
          </w:p>
          <w:p w14:paraId="41D04CAD" w14:textId="278785C1" w:rsidR="00CB170F" w:rsidRPr="001941B0" w:rsidRDefault="00CB170F" w:rsidP="006E0CB2">
            <w:pPr>
              <w:autoSpaceDE w:val="0"/>
              <w:autoSpaceDN w:val="0"/>
              <w:adjustRightInd w:val="0"/>
              <w:spacing w:after="0" w:line="240" w:lineRule="auto"/>
              <w:rPr>
                <w:rFonts w:cs="Calibri"/>
                <w:sz w:val="20"/>
                <w:szCs w:val="20"/>
                <w:lang w:val="en-US"/>
              </w:rPr>
            </w:pPr>
          </w:p>
        </w:tc>
        <w:tc>
          <w:tcPr>
            <w:tcW w:w="5652" w:type="dxa"/>
            <w:shd w:val="clear" w:color="auto" w:fill="FFFFFF" w:themeFill="background1"/>
          </w:tcPr>
          <w:p w14:paraId="4CD97C17" w14:textId="35177E20" w:rsidR="003A75F3" w:rsidRPr="001941B0" w:rsidRDefault="00D3683C" w:rsidP="003A75F3">
            <w:pPr>
              <w:autoSpaceDE w:val="0"/>
              <w:autoSpaceDN w:val="0"/>
              <w:adjustRightInd w:val="0"/>
              <w:spacing w:after="0" w:line="240" w:lineRule="auto"/>
              <w:rPr>
                <w:rFonts w:cs="Calibri"/>
                <w:bCs/>
                <w:sz w:val="20"/>
                <w:szCs w:val="20"/>
              </w:rPr>
            </w:pPr>
            <w:r w:rsidRPr="001941B0">
              <w:rPr>
                <w:rFonts w:cs="Calibri"/>
                <w:bCs/>
                <w:sz w:val="20"/>
                <w:szCs w:val="20"/>
              </w:rPr>
              <w:t>2.</w:t>
            </w:r>
            <w:r w:rsidR="003A75F3" w:rsidRPr="001941B0">
              <w:rPr>
                <w:rFonts w:cs="Calibri"/>
                <w:bCs/>
                <w:sz w:val="20"/>
                <w:szCs w:val="20"/>
              </w:rPr>
              <w:t>Zgodnie z projektowanym art. 5 ust. 3a ustawy o systemie informacji w ochronie zdrowia, „Dane zawarte w systemach, o których mowa w ust. 1 pkt 1–1b, pkt 2 lit. a, e, g–j, l–m oraz pkt 3, nie podlegają udostępnianiu na zasadach określonych w ustawie z dnia 6 września 2001 r. o dostępie do informacji publicznej (Dz. U. z 2022 r. poz. 902) oraz w</w:t>
            </w:r>
            <w:r w:rsidR="00B25533" w:rsidRPr="001941B0">
              <w:rPr>
                <w:rFonts w:cs="Calibri"/>
                <w:bCs/>
                <w:sz w:val="20"/>
                <w:szCs w:val="20"/>
              </w:rPr>
              <w:t xml:space="preserve"> </w:t>
            </w:r>
            <w:r w:rsidR="003A75F3" w:rsidRPr="001941B0">
              <w:rPr>
                <w:rFonts w:cs="Calibri"/>
                <w:bCs/>
                <w:sz w:val="20"/>
                <w:szCs w:val="20"/>
              </w:rPr>
              <w:t>ustawie z dnia 11 sierpnia 2021 r. o otwartych danych oraz ponownym wykorzystywaniu</w:t>
            </w:r>
            <w:r w:rsidR="00B25533" w:rsidRPr="001941B0">
              <w:rPr>
                <w:rFonts w:cs="Calibri"/>
                <w:bCs/>
                <w:sz w:val="20"/>
                <w:szCs w:val="20"/>
              </w:rPr>
              <w:t xml:space="preserve"> </w:t>
            </w:r>
            <w:r w:rsidR="003A75F3" w:rsidRPr="001941B0">
              <w:rPr>
                <w:rFonts w:cs="Calibri"/>
                <w:bCs/>
                <w:sz w:val="20"/>
                <w:szCs w:val="20"/>
              </w:rPr>
              <w:t>informacji sektora publicznego (Dz. U. z 2023 r. poz.1524). (…)”.</w:t>
            </w:r>
            <w:r w:rsidR="00B25533" w:rsidRPr="001941B0">
              <w:rPr>
                <w:rFonts w:cs="Calibri"/>
                <w:bCs/>
                <w:sz w:val="20"/>
                <w:szCs w:val="20"/>
              </w:rPr>
              <w:t xml:space="preserve"> </w:t>
            </w:r>
            <w:r w:rsidR="003A75F3" w:rsidRPr="001941B0">
              <w:rPr>
                <w:rFonts w:cs="Calibri"/>
                <w:bCs/>
                <w:sz w:val="20"/>
                <w:szCs w:val="20"/>
              </w:rPr>
              <w:t>Projektodawca, dodając do aktualnie obowiązującego art. 5 ust. 3a ustawy o</w:t>
            </w:r>
            <w:r w:rsidR="00B25533" w:rsidRPr="001941B0">
              <w:rPr>
                <w:rFonts w:cs="Calibri"/>
                <w:bCs/>
                <w:sz w:val="20"/>
                <w:szCs w:val="20"/>
              </w:rPr>
              <w:t xml:space="preserve"> </w:t>
            </w:r>
            <w:r w:rsidR="003A75F3" w:rsidRPr="001941B0">
              <w:rPr>
                <w:rFonts w:cs="Calibri"/>
                <w:bCs/>
                <w:sz w:val="20"/>
                <w:szCs w:val="20"/>
              </w:rPr>
              <w:t>systemie informacji w ochronie zdrowia, obok ustawy o dostępie do informacji publicznej,</w:t>
            </w:r>
            <w:r w:rsidR="00B25533" w:rsidRPr="001941B0">
              <w:rPr>
                <w:rFonts w:cs="Calibri"/>
                <w:bCs/>
                <w:sz w:val="20"/>
                <w:szCs w:val="20"/>
              </w:rPr>
              <w:t xml:space="preserve"> </w:t>
            </w:r>
            <w:r w:rsidR="003A75F3" w:rsidRPr="001941B0">
              <w:rPr>
                <w:rFonts w:cs="Calibri"/>
                <w:bCs/>
                <w:sz w:val="20"/>
                <w:szCs w:val="20"/>
              </w:rPr>
              <w:t>także ustawę o otwartych danych oraz ponownym wykorzystywaniu informacji sektora</w:t>
            </w:r>
          </w:p>
          <w:p w14:paraId="38258D60" w14:textId="27B03528" w:rsidR="003A75F3" w:rsidRPr="001941B0" w:rsidRDefault="003A75F3" w:rsidP="003A75F3">
            <w:pPr>
              <w:autoSpaceDE w:val="0"/>
              <w:autoSpaceDN w:val="0"/>
              <w:adjustRightInd w:val="0"/>
              <w:spacing w:after="0" w:line="240" w:lineRule="auto"/>
              <w:rPr>
                <w:rFonts w:cs="Calibri"/>
                <w:bCs/>
                <w:sz w:val="20"/>
                <w:szCs w:val="20"/>
              </w:rPr>
            </w:pPr>
            <w:r w:rsidRPr="001941B0">
              <w:rPr>
                <w:rFonts w:cs="Calibri"/>
                <w:bCs/>
                <w:sz w:val="20"/>
                <w:szCs w:val="20"/>
              </w:rPr>
              <w:t>publicznego, wyłącza możliwość wtórnego wykorzystywania danych w innych celach niż</w:t>
            </w:r>
            <w:r w:rsidR="00B25533" w:rsidRPr="001941B0">
              <w:rPr>
                <w:rFonts w:cs="Calibri"/>
                <w:bCs/>
                <w:sz w:val="20"/>
                <w:szCs w:val="20"/>
              </w:rPr>
              <w:t xml:space="preserve"> </w:t>
            </w:r>
            <w:r w:rsidRPr="001941B0">
              <w:rPr>
                <w:rFonts w:cs="Calibri"/>
                <w:bCs/>
                <w:sz w:val="20"/>
                <w:szCs w:val="20"/>
              </w:rPr>
              <w:t>zostały pierwotnie pozyskane. Poważnego zastanowienia i rozważenia pod kątem</w:t>
            </w:r>
            <w:r w:rsidR="00BD553A" w:rsidRPr="001941B0">
              <w:rPr>
                <w:rFonts w:cs="Calibri"/>
                <w:bCs/>
                <w:sz w:val="20"/>
                <w:szCs w:val="20"/>
              </w:rPr>
              <w:t xml:space="preserve"> </w:t>
            </w:r>
            <w:r w:rsidRPr="001941B0">
              <w:rPr>
                <w:rFonts w:cs="Calibri"/>
                <w:bCs/>
                <w:sz w:val="20"/>
                <w:szCs w:val="20"/>
              </w:rPr>
              <w:t>zasadności wymaga ocena tej regulacji z perspektywy unijnych rozporządzeń, tzn.</w:t>
            </w:r>
            <w:r w:rsidR="00BD553A" w:rsidRPr="001941B0">
              <w:rPr>
                <w:rFonts w:cs="Calibri"/>
                <w:bCs/>
                <w:sz w:val="20"/>
                <w:szCs w:val="20"/>
              </w:rPr>
              <w:t xml:space="preserve"> </w:t>
            </w:r>
            <w:r w:rsidRPr="001941B0">
              <w:rPr>
                <w:rFonts w:cs="Calibri"/>
                <w:bCs/>
                <w:sz w:val="20"/>
                <w:szCs w:val="20"/>
              </w:rPr>
              <w:t>aktu w sprawie zarządzania danymi</w:t>
            </w:r>
            <w:r w:rsidR="00D274E2" w:rsidRPr="001941B0">
              <w:rPr>
                <w:rStyle w:val="Odwoanieprzypisudolnego"/>
                <w:rFonts w:cs="Calibri"/>
                <w:bCs/>
                <w:sz w:val="20"/>
                <w:szCs w:val="20"/>
              </w:rPr>
              <w:footnoteReference w:id="14"/>
            </w:r>
            <w:r w:rsidR="002F32E0" w:rsidRPr="001941B0">
              <w:rPr>
                <w:rFonts w:cs="Calibri"/>
                <w:bCs/>
                <w:sz w:val="20"/>
                <w:szCs w:val="20"/>
              </w:rPr>
              <w:t xml:space="preserve"> </w:t>
            </w:r>
            <w:r w:rsidR="00D274E2" w:rsidRPr="001941B0">
              <w:rPr>
                <w:rFonts w:cs="Calibri"/>
                <w:bCs/>
                <w:sz w:val="20"/>
                <w:szCs w:val="20"/>
              </w:rPr>
              <w:t>oraz</w:t>
            </w:r>
            <w:r w:rsidRPr="001941B0">
              <w:rPr>
                <w:rFonts w:cs="Calibri"/>
                <w:bCs/>
                <w:sz w:val="20"/>
                <w:szCs w:val="20"/>
              </w:rPr>
              <w:t xml:space="preserve"> EHDS</w:t>
            </w:r>
            <w:r w:rsidR="00523E35" w:rsidRPr="001941B0">
              <w:rPr>
                <w:rStyle w:val="Odwoanieprzypisudolnego"/>
                <w:rFonts w:cs="Calibri"/>
                <w:bCs/>
                <w:sz w:val="20"/>
                <w:szCs w:val="20"/>
              </w:rPr>
              <w:footnoteReference w:id="15"/>
            </w:r>
            <w:r w:rsidRPr="001941B0">
              <w:rPr>
                <w:rFonts w:cs="Calibri"/>
                <w:bCs/>
                <w:sz w:val="20"/>
                <w:szCs w:val="20"/>
              </w:rPr>
              <w:t>, które weszło w życie 26 marca</w:t>
            </w:r>
            <w:r w:rsidR="00BD553A" w:rsidRPr="001941B0">
              <w:rPr>
                <w:rFonts w:cs="Calibri"/>
                <w:bCs/>
                <w:sz w:val="20"/>
                <w:szCs w:val="20"/>
              </w:rPr>
              <w:t xml:space="preserve"> </w:t>
            </w:r>
            <w:r w:rsidRPr="001941B0">
              <w:rPr>
                <w:rFonts w:cs="Calibri"/>
                <w:bCs/>
                <w:sz w:val="20"/>
                <w:szCs w:val="20"/>
              </w:rPr>
              <w:t>2025 r. Udostępnianie i dalsze wtórne wykorzystywanie danych osobowych oraz</w:t>
            </w:r>
            <w:r w:rsidR="00BD553A" w:rsidRPr="001941B0">
              <w:rPr>
                <w:rFonts w:cs="Calibri"/>
                <w:bCs/>
                <w:sz w:val="20"/>
                <w:szCs w:val="20"/>
              </w:rPr>
              <w:t xml:space="preserve"> </w:t>
            </w:r>
            <w:r w:rsidRPr="001941B0">
              <w:rPr>
                <w:rFonts w:cs="Calibri"/>
                <w:bCs/>
                <w:sz w:val="20"/>
                <w:szCs w:val="20"/>
              </w:rPr>
              <w:t>danych nieosobowych dotyczących zdrowia przetwarzanych w publicznych</w:t>
            </w:r>
            <w:r w:rsidR="00BD553A" w:rsidRPr="001941B0">
              <w:rPr>
                <w:rFonts w:cs="Calibri"/>
                <w:bCs/>
                <w:sz w:val="20"/>
                <w:szCs w:val="20"/>
              </w:rPr>
              <w:t xml:space="preserve"> </w:t>
            </w:r>
            <w:r w:rsidRPr="001941B0">
              <w:rPr>
                <w:rFonts w:cs="Calibri"/>
                <w:bCs/>
                <w:sz w:val="20"/>
                <w:szCs w:val="20"/>
              </w:rPr>
              <w:t>rejestrach – zgodnie z regulacjami dotyczącymi wtórnego przetwarzania danych –</w:t>
            </w:r>
            <w:r w:rsidR="00BD553A" w:rsidRPr="001941B0">
              <w:rPr>
                <w:rFonts w:cs="Calibri"/>
                <w:bCs/>
                <w:sz w:val="20"/>
                <w:szCs w:val="20"/>
              </w:rPr>
              <w:t xml:space="preserve"> </w:t>
            </w:r>
            <w:r w:rsidRPr="001941B0">
              <w:rPr>
                <w:rFonts w:cs="Calibri"/>
                <w:bCs/>
                <w:sz w:val="20"/>
                <w:szCs w:val="20"/>
              </w:rPr>
              <w:t xml:space="preserve">ma istotne znaczenie z </w:t>
            </w:r>
            <w:r w:rsidRPr="001941B0">
              <w:rPr>
                <w:rFonts w:cs="Calibri"/>
                <w:bCs/>
                <w:sz w:val="20"/>
                <w:szCs w:val="20"/>
              </w:rPr>
              <w:lastRenderedPageBreak/>
              <w:t>punktu widzenia zarówno interesów państwa, jak i interesów</w:t>
            </w:r>
            <w:r w:rsidR="00BD553A" w:rsidRPr="001941B0">
              <w:rPr>
                <w:rFonts w:cs="Calibri"/>
                <w:bCs/>
                <w:sz w:val="20"/>
                <w:szCs w:val="20"/>
              </w:rPr>
              <w:t xml:space="preserve"> </w:t>
            </w:r>
            <w:r w:rsidRPr="001941B0">
              <w:rPr>
                <w:rFonts w:cs="Calibri"/>
                <w:bCs/>
                <w:sz w:val="20"/>
                <w:szCs w:val="20"/>
              </w:rPr>
              <w:t>(także zbiorowych) osób fizycznych (w szczególności pacjentów), których dane</w:t>
            </w:r>
            <w:r w:rsidR="00BD553A" w:rsidRPr="001941B0">
              <w:rPr>
                <w:rFonts w:cs="Calibri"/>
                <w:bCs/>
                <w:sz w:val="20"/>
                <w:szCs w:val="20"/>
              </w:rPr>
              <w:t xml:space="preserve"> </w:t>
            </w:r>
            <w:r w:rsidRPr="001941B0">
              <w:rPr>
                <w:rFonts w:cs="Calibri"/>
                <w:bCs/>
                <w:sz w:val="20"/>
                <w:szCs w:val="20"/>
              </w:rPr>
              <w:t>dotyczą, w tym w kontekście wynikającego z EHDS obowiązku wtórnego</w:t>
            </w:r>
          </w:p>
          <w:p w14:paraId="6F1A7065" w14:textId="13AD6A2E" w:rsidR="00CB170F" w:rsidRPr="001941B0" w:rsidRDefault="003A75F3" w:rsidP="003A75F3">
            <w:pPr>
              <w:autoSpaceDE w:val="0"/>
              <w:autoSpaceDN w:val="0"/>
              <w:adjustRightInd w:val="0"/>
              <w:spacing w:after="0" w:line="240" w:lineRule="auto"/>
              <w:rPr>
                <w:rFonts w:cs="Calibri"/>
                <w:bCs/>
                <w:sz w:val="20"/>
                <w:szCs w:val="20"/>
              </w:rPr>
            </w:pPr>
            <w:r w:rsidRPr="001941B0">
              <w:rPr>
                <w:rFonts w:cs="Calibri"/>
                <w:bCs/>
                <w:sz w:val="20"/>
                <w:szCs w:val="20"/>
              </w:rPr>
              <w:t>wykorzystania elektronicznych danych dotyczących zdrowia.</w:t>
            </w:r>
          </w:p>
        </w:tc>
        <w:tc>
          <w:tcPr>
            <w:tcW w:w="2855" w:type="dxa"/>
            <w:shd w:val="clear" w:color="auto" w:fill="FFFFFF" w:themeFill="background1"/>
          </w:tcPr>
          <w:p w14:paraId="3BABE425" w14:textId="77777777" w:rsidR="00CB170F" w:rsidRPr="001941B0" w:rsidRDefault="00937B3A" w:rsidP="006E0CB2">
            <w:pPr>
              <w:autoSpaceDE w:val="0"/>
              <w:autoSpaceDN w:val="0"/>
              <w:adjustRightInd w:val="0"/>
              <w:spacing w:after="0" w:line="240" w:lineRule="auto"/>
              <w:rPr>
                <w:b/>
                <w:sz w:val="20"/>
                <w:szCs w:val="20"/>
              </w:rPr>
            </w:pPr>
            <w:r w:rsidRPr="001941B0">
              <w:rPr>
                <w:b/>
                <w:sz w:val="20"/>
                <w:szCs w:val="20"/>
              </w:rPr>
              <w:lastRenderedPageBreak/>
              <w:t>Wyjaśnienie</w:t>
            </w:r>
          </w:p>
          <w:p w14:paraId="0CCDE31D" w14:textId="41174EB8" w:rsidR="00B95224" w:rsidRPr="001941B0" w:rsidRDefault="00B95224" w:rsidP="006E0CB2">
            <w:pPr>
              <w:autoSpaceDE w:val="0"/>
              <w:autoSpaceDN w:val="0"/>
              <w:adjustRightInd w:val="0"/>
              <w:spacing w:after="0" w:line="240" w:lineRule="auto"/>
              <w:rPr>
                <w:sz w:val="20"/>
                <w:szCs w:val="20"/>
              </w:rPr>
            </w:pPr>
            <w:r w:rsidRPr="001941B0">
              <w:rPr>
                <w:sz w:val="20"/>
                <w:szCs w:val="20"/>
              </w:rPr>
              <w:t xml:space="preserve">Zapis ma charakter porządkujący, </w:t>
            </w:r>
            <w:r w:rsidR="00194A23" w:rsidRPr="001941B0">
              <w:rPr>
                <w:sz w:val="20"/>
                <w:szCs w:val="20"/>
              </w:rPr>
              <w:t>aby ustawa</w:t>
            </w:r>
            <w:r w:rsidRPr="001941B0">
              <w:rPr>
                <w:sz w:val="20"/>
                <w:szCs w:val="20"/>
              </w:rPr>
              <w:t xml:space="preserve"> o otwartych danych nie powodowała konieczności udostępnienia danych nie objętych ustawą o dostępie do informacji publicznej</w:t>
            </w:r>
          </w:p>
          <w:p w14:paraId="4CBC77FC" w14:textId="7FA4B9E8" w:rsidR="00937B3A" w:rsidRPr="001941B0" w:rsidRDefault="007214F5" w:rsidP="006E0CB2">
            <w:pPr>
              <w:autoSpaceDE w:val="0"/>
              <w:autoSpaceDN w:val="0"/>
              <w:adjustRightInd w:val="0"/>
              <w:spacing w:after="0" w:line="240" w:lineRule="auto"/>
              <w:rPr>
                <w:sz w:val="20"/>
                <w:szCs w:val="20"/>
              </w:rPr>
            </w:pPr>
            <w:r w:rsidRPr="001941B0">
              <w:rPr>
                <w:sz w:val="20"/>
                <w:szCs w:val="20"/>
              </w:rPr>
              <w:t>EHDS będzie kompleksowo regulował</w:t>
            </w:r>
            <w:r w:rsidR="00EF2B6B" w:rsidRPr="001941B0">
              <w:rPr>
                <w:sz w:val="20"/>
                <w:szCs w:val="20"/>
              </w:rPr>
              <w:t xml:space="preserve"> te kwestie</w:t>
            </w:r>
            <w:r w:rsidR="00C76CA5" w:rsidRPr="001941B0">
              <w:rPr>
                <w:sz w:val="20"/>
                <w:szCs w:val="20"/>
              </w:rPr>
              <w:t>.</w:t>
            </w:r>
          </w:p>
          <w:p w14:paraId="6456D3F1" w14:textId="665D917D" w:rsidR="00CB170F" w:rsidRPr="001941B0" w:rsidRDefault="00BD22A5" w:rsidP="006E0CB2">
            <w:pPr>
              <w:autoSpaceDE w:val="0"/>
              <w:autoSpaceDN w:val="0"/>
              <w:adjustRightInd w:val="0"/>
              <w:spacing w:after="0" w:line="240" w:lineRule="auto"/>
              <w:rPr>
                <w:sz w:val="20"/>
                <w:szCs w:val="20"/>
              </w:rPr>
            </w:pPr>
            <w:r w:rsidRPr="001941B0">
              <w:rPr>
                <w:sz w:val="20"/>
                <w:szCs w:val="20"/>
              </w:rPr>
              <w:t>Wprowadzony zapis uwzględnia wyrok sądowy.</w:t>
            </w:r>
          </w:p>
        </w:tc>
      </w:tr>
      <w:tr w:rsidR="00FC7212" w:rsidRPr="001941B0" w14:paraId="109B2C88" w14:textId="77777777" w:rsidTr="7139DBB9">
        <w:tc>
          <w:tcPr>
            <w:tcW w:w="1125" w:type="dxa"/>
            <w:shd w:val="clear" w:color="auto" w:fill="FFFFFF" w:themeFill="background1"/>
          </w:tcPr>
          <w:p w14:paraId="47D75DBB" w14:textId="77777777" w:rsidR="008B08BC" w:rsidRPr="001941B0" w:rsidRDefault="008B08BC"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C33B2F7" w14:textId="69285878" w:rsidR="008B08BC" w:rsidRPr="001941B0" w:rsidRDefault="009376C4"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56657403" w14:textId="1C0ED86A" w:rsidR="008B08BC" w:rsidRPr="001941B0" w:rsidRDefault="005C3A59" w:rsidP="006E0CB2">
            <w:pPr>
              <w:autoSpaceDE w:val="0"/>
              <w:autoSpaceDN w:val="0"/>
              <w:adjustRightInd w:val="0"/>
              <w:spacing w:after="0" w:line="240" w:lineRule="auto"/>
              <w:rPr>
                <w:rFonts w:cs="Calibri"/>
                <w:sz w:val="20"/>
                <w:szCs w:val="20"/>
              </w:rPr>
            </w:pPr>
            <w:r>
              <w:rPr>
                <w:rFonts w:cs="Calibri"/>
                <w:sz w:val="20"/>
                <w:szCs w:val="20"/>
              </w:rPr>
              <w:t>A</w:t>
            </w:r>
            <w:r w:rsidR="009376C4" w:rsidRPr="001941B0">
              <w:rPr>
                <w:rFonts w:cs="Calibri"/>
                <w:sz w:val="20"/>
                <w:szCs w:val="20"/>
              </w:rPr>
              <w:t>rt. 5 pkt 2 lit. b</w:t>
            </w:r>
          </w:p>
        </w:tc>
        <w:tc>
          <w:tcPr>
            <w:tcW w:w="5652" w:type="dxa"/>
            <w:shd w:val="clear" w:color="auto" w:fill="FFFFFF" w:themeFill="background1"/>
          </w:tcPr>
          <w:p w14:paraId="1F3E7D52" w14:textId="6C44A72B" w:rsidR="00CB7B0D" w:rsidRPr="001941B0" w:rsidRDefault="00D3683C" w:rsidP="00CB7B0D">
            <w:pPr>
              <w:autoSpaceDE w:val="0"/>
              <w:autoSpaceDN w:val="0"/>
              <w:adjustRightInd w:val="0"/>
              <w:spacing w:after="0" w:line="240" w:lineRule="auto"/>
              <w:rPr>
                <w:rFonts w:cs="Calibri"/>
                <w:bCs/>
                <w:sz w:val="20"/>
                <w:szCs w:val="20"/>
              </w:rPr>
            </w:pPr>
            <w:r w:rsidRPr="001941B0">
              <w:rPr>
                <w:rFonts w:cs="Calibri"/>
                <w:bCs/>
                <w:sz w:val="20"/>
                <w:szCs w:val="20"/>
              </w:rPr>
              <w:t>3.</w:t>
            </w:r>
            <w:r w:rsidR="00CB7B0D" w:rsidRPr="001941B0">
              <w:rPr>
                <w:rFonts w:cs="Calibri"/>
                <w:bCs/>
                <w:sz w:val="20"/>
                <w:szCs w:val="20"/>
              </w:rPr>
              <w:t>Zgodnie z art. 5 ust. 3b ustawy o systemie informacji w ochronie zdrowia, na podstawie rejestrów, o których mowa w art. 15 ust. 1, art. 16 ust. 1, art. 17 ust. 1 i art. 17a</w:t>
            </w:r>
            <w:r w:rsidR="009202FE" w:rsidRPr="001941B0">
              <w:rPr>
                <w:rFonts w:cs="Calibri"/>
                <w:bCs/>
                <w:sz w:val="20"/>
                <w:szCs w:val="20"/>
              </w:rPr>
              <w:t xml:space="preserve"> </w:t>
            </w:r>
            <w:r w:rsidR="00CB7B0D" w:rsidRPr="001941B0">
              <w:rPr>
                <w:rFonts w:cs="Calibri"/>
                <w:bCs/>
                <w:sz w:val="20"/>
                <w:szCs w:val="20"/>
              </w:rPr>
              <w:t>ust. 1 ustawy, mogą być weryfikowane i aktualizowane dane przetwarzane w rejestrach i</w:t>
            </w:r>
          </w:p>
          <w:p w14:paraId="161D9A21" w14:textId="54826243" w:rsidR="00CB7B0D" w:rsidRPr="001941B0" w:rsidRDefault="00CB7B0D" w:rsidP="00CB7B0D">
            <w:pPr>
              <w:autoSpaceDE w:val="0"/>
              <w:autoSpaceDN w:val="0"/>
              <w:adjustRightInd w:val="0"/>
              <w:spacing w:after="0" w:line="240" w:lineRule="auto"/>
              <w:rPr>
                <w:rFonts w:cs="Calibri"/>
                <w:bCs/>
                <w:sz w:val="20"/>
                <w:szCs w:val="20"/>
              </w:rPr>
            </w:pPr>
            <w:r w:rsidRPr="001941B0">
              <w:rPr>
                <w:rFonts w:cs="Calibri"/>
                <w:bCs/>
                <w:sz w:val="20"/>
                <w:szCs w:val="20"/>
              </w:rPr>
              <w:t>systemach wymienionych w tym przepisie. Projektodawca nie wskazuje jednak na jakich</w:t>
            </w:r>
            <w:r w:rsidR="009202FE" w:rsidRPr="001941B0">
              <w:rPr>
                <w:rFonts w:cs="Calibri"/>
                <w:bCs/>
                <w:sz w:val="20"/>
                <w:szCs w:val="20"/>
              </w:rPr>
              <w:t xml:space="preserve"> </w:t>
            </w:r>
            <w:r w:rsidRPr="001941B0">
              <w:rPr>
                <w:rFonts w:cs="Calibri"/>
                <w:bCs/>
                <w:sz w:val="20"/>
                <w:szCs w:val="20"/>
              </w:rPr>
              <w:t>zasadach ma się ten proces odbywać, w jakim celu mają być dokonywane weryfikacja</w:t>
            </w:r>
            <w:r w:rsidR="00C16173" w:rsidRPr="001941B0">
              <w:rPr>
                <w:rFonts w:cs="Calibri"/>
                <w:bCs/>
                <w:sz w:val="20"/>
                <w:szCs w:val="20"/>
              </w:rPr>
              <w:t xml:space="preserve"> </w:t>
            </w:r>
            <w:r w:rsidRPr="001941B0">
              <w:rPr>
                <w:rFonts w:cs="Calibri"/>
                <w:bCs/>
                <w:sz w:val="20"/>
                <w:szCs w:val="20"/>
              </w:rPr>
              <w:t>i aktualizacja danych oraz na czym ma ona polegać i kto (jaki podmiot) ma ją</w:t>
            </w:r>
          </w:p>
          <w:p w14:paraId="2BEA2DEE" w14:textId="5B547B30" w:rsidR="00CB7B0D" w:rsidRPr="001941B0" w:rsidRDefault="00CB7B0D" w:rsidP="00CB7B0D">
            <w:pPr>
              <w:autoSpaceDE w:val="0"/>
              <w:autoSpaceDN w:val="0"/>
              <w:adjustRightInd w:val="0"/>
              <w:spacing w:after="0" w:line="240" w:lineRule="auto"/>
              <w:rPr>
                <w:rFonts w:cs="Calibri"/>
                <w:bCs/>
                <w:sz w:val="20"/>
                <w:szCs w:val="20"/>
              </w:rPr>
            </w:pPr>
            <w:r w:rsidRPr="001941B0">
              <w:rPr>
                <w:rFonts w:cs="Calibri"/>
                <w:bCs/>
                <w:sz w:val="20"/>
                <w:szCs w:val="20"/>
              </w:rPr>
              <w:t>wykonywać. Projektowany przepis nie określa również</w:t>
            </w:r>
            <w:r w:rsidR="00C16173" w:rsidRPr="001941B0">
              <w:rPr>
                <w:rFonts w:cs="Calibri"/>
                <w:bCs/>
                <w:sz w:val="20"/>
                <w:szCs w:val="20"/>
              </w:rPr>
              <w:t xml:space="preserve"> </w:t>
            </w:r>
            <w:r w:rsidRPr="001941B0">
              <w:rPr>
                <w:rFonts w:cs="Calibri"/>
                <w:bCs/>
                <w:sz w:val="20"/>
                <w:szCs w:val="20"/>
              </w:rPr>
              <w:t>częstotliwości dokonywania tych</w:t>
            </w:r>
            <w:r w:rsidR="00C16173" w:rsidRPr="001941B0">
              <w:rPr>
                <w:rFonts w:cs="Calibri"/>
                <w:bCs/>
                <w:sz w:val="20"/>
                <w:szCs w:val="20"/>
              </w:rPr>
              <w:t xml:space="preserve"> </w:t>
            </w:r>
            <w:r w:rsidRPr="001941B0">
              <w:rPr>
                <w:rFonts w:cs="Calibri"/>
                <w:bCs/>
                <w:sz w:val="20"/>
                <w:szCs w:val="20"/>
              </w:rPr>
              <w:t>czynności (czy będzie się to odbywało automatycznie czy na wniosek podmiotu danych,</w:t>
            </w:r>
          </w:p>
          <w:p w14:paraId="20470612" w14:textId="31F1FC9F" w:rsidR="00CB7B0D" w:rsidRPr="001941B0" w:rsidRDefault="00CB7B0D" w:rsidP="00CB7B0D">
            <w:pPr>
              <w:autoSpaceDE w:val="0"/>
              <w:autoSpaceDN w:val="0"/>
              <w:adjustRightInd w:val="0"/>
              <w:spacing w:after="0" w:line="240" w:lineRule="auto"/>
              <w:rPr>
                <w:rFonts w:cs="Calibri"/>
                <w:bCs/>
                <w:sz w:val="20"/>
                <w:szCs w:val="20"/>
              </w:rPr>
            </w:pPr>
            <w:r w:rsidRPr="001941B0">
              <w:rPr>
                <w:rFonts w:cs="Calibri"/>
                <w:bCs/>
                <w:sz w:val="20"/>
                <w:szCs w:val="20"/>
              </w:rPr>
              <w:t>czy też z urzędu). Przepis ten wymaga doprecyzowania, aby wykluczyć nieodpowiadające</w:t>
            </w:r>
            <w:r w:rsidR="00C16173" w:rsidRPr="001941B0">
              <w:rPr>
                <w:rFonts w:cs="Calibri"/>
                <w:bCs/>
                <w:sz w:val="20"/>
                <w:szCs w:val="20"/>
              </w:rPr>
              <w:t xml:space="preserve"> </w:t>
            </w:r>
            <w:r w:rsidRPr="001941B0">
              <w:rPr>
                <w:rFonts w:cs="Calibri"/>
                <w:bCs/>
                <w:sz w:val="20"/>
                <w:szCs w:val="20"/>
              </w:rPr>
              <w:t>standardom rozporządzenia 2016/679 operacje na danych osobowych podejmowane</w:t>
            </w:r>
          </w:p>
          <w:p w14:paraId="7AF543DF" w14:textId="170D6C6B" w:rsidR="00CB7B0D" w:rsidRPr="001941B0" w:rsidRDefault="00CB7B0D" w:rsidP="00CB7B0D">
            <w:pPr>
              <w:autoSpaceDE w:val="0"/>
              <w:autoSpaceDN w:val="0"/>
              <w:adjustRightInd w:val="0"/>
              <w:spacing w:after="0" w:line="240" w:lineRule="auto"/>
              <w:rPr>
                <w:rFonts w:cs="Calibri"/>
                <w:bCs/>
                <w:sz w:val="20"/>
                <w:szCs w:val="20"/>
              </w:rPr>
            </w:pPr>
            <w:r w:rsidRPr="001941B0">
              <w:rPr>
                <w:rFonts w:cs="Calibri"/>
                <w:bCs/>
                <w:sz w:val="20"/>
                <w:szCs w:val="20"/>
              </w:rPr>
              <w:t>przez wykonawców tych norm – nadmiarowe i niezgodne z celem pozyskiwanie i dalsze</w:t>
            </w:r>
            <w:r w:rsidR="00C16173" w:rsidRPr="001941B0">
              <w:rPr>
                <w:rFonts w:cs="Calibri"/>
                <w:bCs/>
                <w:sz w:val="20"/>
                <w:szCs w:val="20"/>
              </w:rPr>
              <w:t xml:space="preserve"> </w:t>
            </w:r>
            <w:r w:rsidRPr="001941B0">
              <w:rPr>
                <w:rFonts w:cs="Calibri"/>
                <w:bCs/>
                <w:sz w:val="20"/>
                <w:szCs w:val="20"/>
              </w:rPr>
              <w:t>przetwarzanie danych z rejestrów i systemów stosownie do zasady zgodności z prawem,</w:t>
            </w:r>
          </w:p>
          <w:p w14:paraId="76CE8151" w14:textId="1D8CF228" w:rsidR="00CB7B0D" w:rsidRPr="001941B0" w:rsidRDefault="00CB7B0D" w:rsidP="00CB7B0D">
            <w:pPr>
              <w:autoSpaceDE w:val="0"/>
              <w:autoSpaceDN w:val="0"/>
              <w:adjustRightInd w:val="0"/>
              <w:spacing w:after="0" w:line="240" w:lineRule="auto"/>
              <w:rPr>
                <w:rFonts w:cs="Calibri"/>
                <w:bCs/>
                <w:sz w:val="20"/>
                <w:szCs w:val="20"/>
              </w:rPr>
            </w:pPr>
            <w:r w:rsidRPr="001941B0">
              <w:rPr>
                <w:rFonts w:cs="Calibri"/>
                <w:bCs/>
                <w:sz w:val="20"/>
                <w:szCs w:val="20"/>
              </w:rPr>
              <w:t>przejrzystości i rzetelności, a także celowości oraz minimalizacji danych, a jednocześnie</w:t>
            </w:r>
            <w:r w:rsidR="00C16173" w:rsidRPr="001941B0">
              <w:rPr>
                <w:rFonts w:cs="Calibri"/>
                <w:bCs/>
                <w:sz w:val="20"/>
                <w:szCs w:val="20"/>
              </w:rPr>
              <w:t xml:space="preserve"> </w:t>
            </w:r>
            <w:r w:rsidRPr="001941B0">
              <w:rPr>
                <w:rFonts w:cs="Calibri"/>
                <w:bCs/>
                <w:sz w:val="20"/>
                <w:szCs w:val="20"/>
              </w:rPr>
              <w:t>zapewnić prawidłowość danych przetwarzanych w tych rejestrach i systemach stosowanie</w:t>
            </w:r>
          </w:p>
          <w:p w14:paraId="0D207F78" w14:textId="6B43F310" w:rsidR="008B08BC" w:rsidRPr="001941B0" w:rsidRDefault="00CB7B0D" w:rsidP="00CB7B0D">
            <w:pPr>
              <w:autoSpaceDE w:val="0"/>
              <w:autoSpaceDN w:val="0"/>
              <w:adjustRightInd w:val="0"/>
              <w:spacing w:after="0" w:line="240" w:lineRule="auto"/>
              <w:rPr>
                <w:rFonts w:cs="Calibri"/>
                <w:bCs/>
                <w:sz w:val="20"/>
                <w:szCs w:val="20"/>
              </w:rPr>
            </w:pPr>
            <w:r w:rsidRPr="001941B0">
              <w:rPr>
                <w:rFonts w:cs="Calibri"/>
                <w:bCs/>
                <w:sz w:val="20"/>
                <w:szCs w:val="20"/>
              </w:rPr>
              <w:t>do zasady prawidłowości danych, jak również rozliczalność.</w:t>
            </w:r>
          </w:p>
        </w:tc>
        <w:tc>
          <w:tcPr>
            <w:tcW w:w="2855" w:type="dxa"/>
            <w:shd w:val="clear" w:color="auto" w:fill="FFFFFF" w:themeFill="background1"/>
          </w:tcPr>
          <w:p w14:paraId="34A50D55" w14:textId="77777777" w:rsidR="008B08BC" w:rsidRPr="001941B0" w:rsidRDefault="00553CC5" w:rsidP="006E0CB2">
            <w:pPr>
              <w:autoSpaceDE w:val="0"/>
              <w:autoSpaceDN w:val="0"/>
              <w:adjustRightInd w:val="0"/>
              <w:spacing w:after="0" w:line="240" w:lineRule="auto"/>
              <w:rPr>
                <w:sz w:val="20"/>
                <w:szCs w:val="20"/>
              </w:rPr>
            </w:pPr>
            <w:r w:rsidRPr="001941B0">
              <w:rPr>
                <w:sz w:val="20"/>
                <w:szCs w:val="20"/>
              </w:rPr>
              <w:t>Wyjaśnienie</w:t>
            </w:r>
          </w:p>
          <w:p w14:paraId="32C6D30B" w14:textId="7FAA2793" w:rsidR="007A482B" w:rsidRPr="001941B0" w:rsidRDefault="00154219" w:rsidP="006E0CB2">
            <w:pPr>
              <w:autoSpaceDE w:val="0"/>
              <w:autoSpaceDN w:val="0"/>
              <w:adjustRightInd w:val="0"/>
              <w:spacing w:after="0" w:line="240" w:lineRule="auto"/>
              <w:rPr>
                <w:sz w:val="20"/>
                <w:szCs w:val="20"/>
              </w:rPr>
            </w:pPr>
            <w:r w:rsidRPr="001941B0">
              <w:rPr>
                <w:sz w:val="20"/>
                <w:szCs w:val="20"/>
              </w:rPr>
              <w:t xml:space="preserve">Projektowana regulacja </w:t>
            </w:r>
            <w:r w:rsidR="00B60362" w:rsidRPr="001941B0">
              <w:rPr>
                <w:sz w:val="20"/>
                <w:szCs w:val="20"/>
              </w:rPr>
              <w:t xml:space="preserve">w porównaniu do obecnie obowiązującej wersji wprowadza zmiany polegające na rozszerzeniu katalogu </w:t>
            </w:r>
            <w:r w:rsidR="003C412A" w:rsidRPr="001941B0">
              <w:rPr>
                <w:sz w:val="20"/>
                <w:szCs w:val="20"/>
              </w:rPr>
              <w:t>systemów,</w:t>
            </w:r>
            <w:r w:rsidR="00B60362" w:rsidRPr="001941B0">
              <w:rPr>
                <w:sz w:val="20"/>
                <w:szCs w:val="20"/>
              </w:rPr>
              <w:t xml:space="preserve"> w których mogą być weryfikowane dane o </w:t>
            </w:r>
            <w:r w:rsidR="003C412A" w:rsidRPr="001941B0">
              <w:rPr>
                <w:sz w:val="20"/>
                <w:szCs w:val="20"/>
              </w:rPr>
              <w:t>rejestry objęte systemem Krajowy Rejestr Zezwoleń na Prowadzenie Aptek Ogólnodostępnych, Punktów Aptecznych oraz Rejestr Udzielonych Zezwoleń na Prowadzenie Aptek Szpitalnych i Zakładowych, o którym mowa w ustawie z dnia 6 września 2001 r. – Prawo farmaceutyczn</w:t>
            </w:r>
            <w:r w:rsidR="00865147" w:rsidRPr="001941B0">
              <w:rPr>
                <w:sz w:val="20"/>
                <w:szCs w:val="20"/>
              </w:rPr>
              <w:t xml:space="preserve">e. </w:t>
            </w:r>
            <w:r w:rsidR="00667B34" w:rsidRPr="001941B0">
              <w:rPr>
                <w:sz w:val="20"/>
                <w:szCs w:val="20"/>
              </w:rPr>
              <w:t>Dane będą weryfikowane zgodnie z obowiązującymi przepisami RODO.</w:t>
            </w:r>
          </w:p>
        </w:tc>
      </w:tr>
      <w:tr w:rsidR="00FC7212" w:rsidRPr="001941B0" w14:paraId="33A0DE3C" w14:textId="77777777" w:rsidTr="7139DBB9">
        <w:tc>
          <w:tcPr>
            <w:tcW w:w="1125" w:type="dxa"/>
            <w:shd w:val="clear" w:color="auto" w:fill="FFFFFF" w:themeFill="background1"/>
          </w:tcPr>
          <w:p w14:paraId="667F78E7" w14:textId="77777777" w:rsidR="0020339F" w:rsidRPr="001941B0" w:rsidRDefault="0020339F"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34E2BC8" w14:textId="54FA7003" w:rsidR="0020339F" w:rsidRPr="001941B0" w:rsidRDefault="0020339F"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099B64BD" w14:textId="5A02D500" w:rsidR="0020339F" w:rsidRPr="001941B0" w:rsidRDefault="005C3A59" w:rsidP="006E0CB2">
            <w:pPr>
              <w:autoSpaceDE w:val="0"/>
              <w:autoSpaceDN w:val="0"/>
              <w:adjustRightInd w:val="0"/>
              <w:spacing w:after="0" w:line="240" w:lineRule="auto"/>
              <w:rPr>
                <w:rFonts w:cs="Calibri"/>
                <w:sz w:val="20"/>
                <w:szCs w:val="20"/>
              </w:rPr>
            </w:pPr>
            <w:r>
              <w:rPr>
                <w:rFonts w:cs="Calibri"/>
                <w:sz w:val="20"/>
                <w:szCs w:val="20"/>
              </w:rPr>
              <w:t>A</w:t>
            </w:r>
            <w:r w:rsidR="0020339F" w:rsidRPr="001941B0">
              <w:rPr>
                <w:rFonts w:cs="Calibri"/>
                <w:sz w:val="20"/>
                <w:szCs w:val="20"/>
              </w:rPr>
              <w:t>rt. 5 pkt 3</w:t>
            </w:r>
          </w:p>
          <w:p w14:paraId="7233C58B" w14:textId="77777777" w:rsidR="001E2F1A" w:rsidRPr="001941B0" w:rsidRDefault="001E2F1A" w:rsidP="006E0CB2">
            <w:pPr>
              <w:autoSpaceDE w:val="0"/>
              <w:autoSpaceDN w:val="0"/>
              <w:adjustRightInd w:val="0"/>
              <w:spacing w:after="0" w:line="240" w:lineRule="auto"/>
              <w:rPr>
                <w:rFonts w:cs="Calibri"/>
                <w:sz w:val="20"/>
                <w:szCs w:val="20"/>
              </w:rPr>
            </w:pPr>
          </w:p>
          <w:p w14:paraId="28F266C8" w14:textId="1BA2A80D" w:rsidR="0020339F" w:rsidRPr="001941B0" w:rsidRDefault="0020339F"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152B3B4A" w14:textId="5BE56773" w:rsidR="00781990" w:rsidRPr="001941B0" w:rsidRDefault="00D3683C" w:rsidP="00781990">
            <w:pPr>
              <w:autoSpaceDE w:val="0"/>
              <w:autoSpaceDN w:val="0"/>
              <w:adjustRightInd w:val="0"/>
              <w:spacing w:after="0" w:line="240" w:lineRule="auto"/>
              <w:rPr>
                <w:rFonts w:cs="Calibri"/>
                <w:bCs/>
                <w:sz w:val="20"/>
                <w:szCs w:val="20"/>
              </w:rPr>
            </w:pPr>
            <w:r w:rsidRPr="001941B0">
              <w:rPr>
                <w:rFonts w:cs="Calibri"/>
                <w:bCs/>
                <w:sz w:val="20"/>
                <w:szCs w:val="20"/>
              </w:rPr>
              <w:t>4.</w:t>
            </w:r>
            <w:r w:rsidR="00781990" w:rsidRPr="001941B0">
              <w:rPr>
                <w:rFonts w:cs="Calibri"/>
                <w:bCs/>
                <w:sz w:val="20"/>
                <w:szCs w:val="20"/>
              </w:rPr>
              <w:t xml:space="preserve">Zgodnie z art. 5a ustawy o systemie informacji w ochronie zdrowia, „Dane w postaci elektronicznej są przekazywane do systemu informacji, z zastosowaniem środków bezpieczeństwa określonych w art. 32 rozporządzenia Parlamentu Europejskiego i Rady (UE) 2016/679 z dnia 27 kwietnia 2016 r. w sprawie ochrony osób fizycznych w związku z przetwarzaniem danych osobowych i w sprawie swobodnego </w:t>
            </w:r>
            <w:r w:rsidR="00781990" w:rsidRPr="001941B0">
              <w:rPr>
                <w:rFonts w:cs="Calibri"/>
                <w:bCs/>
                <w:sz w:val="20"/>
                <w:szCs w:val="20"/>
              </w:rPr>
              <w:lastRenderedPageBreak/>
              <w:t>przepływu takich danych oraz uchylenia dyrektywy 95/46/WE (ogólne rozporządzenie o ochronie danych). 2. W przypadku dokonania pseudonimizacji danych, informacje umożliwiające odwrócenie</w:t>
            </w:r>
            <w:r w:rsidR="00BD5A04" w:rsidRPr="001941B0">
              <w:rPr>
                <w:rFonts w:cs="Calibri"/>
                <w:bCs/>
                <w:sz w:val="20"/>
                <w:szCs w:val="20"/>
              </w:rPr>
              <w:t xml:space="preserve"> </w:t>
            </w:r>
            <w:r w:rsidR="00781990" w:rsidRPr="001941B0">
              <w:rPr>
                <w:rFonts w:cs="Calibri"/>
                <w:bCs/>
                <w:sz w:val="20"/>
                <w:szCs w:val="20"/>
              </w:rPr>
              <w:t>pseudonimizacji są przechowywane z zastosowaniem szczególnych środków</w:t>
            </w:r>
            <w:r w:rsidR="00BD5A04" w:rsidRPr="001941B0">
              <w:rPr>
                <w:rFonts w:cs="Calibri"/>
                <w:bCs/>
                <w:sz w:val="20"/>
                <w:szCs w:val="20"/>
              </w:rPr>
              <w:t xml:space="preserve"> </w:t>
            </w:r>
            <w:r w:rsidR="00781990" w:rsidRPr="001941B0">
              <w:rPr>
                <w:rFonts w:cs="Calibri"/>
                <w:bCs/>
                <w:sz w:val="20"/>
                <w:szCs w:val="20"/>
              </w:rPr>
              <w:t>bezpieczeństwa. Dane mogą podlegać agregacji. 3. Dane pseudonimizowane, które</w:t>
            </w:r>
          </w:p>
          <w:p w14:paraId="7EDF77D3" w14:textId="2398FF2C" w:rsidR="00A37353" w:rsidRPr="001941B0" w:rsidRDefault="00781990" w:rsidP="00A37353">
            <w:pPr>
              <w:autoSpaceDE w:val="0"/>
              <w:autoSpaceDN w:val="0"/>
              <w:adjustRightInd w:val="0"/>
              <w:spacing w:after="0" w:line="240" w:lineRule="auto"/>
              <w:rPr>
                <w:rFonts w:cs="Calibri"/>
                <w:bCs/>
                <w:sz w:val="20"/>
                <w:szCs w:val="20"/>
              </w:rPr>
            </w:pPr>
            <w:r w:rsidRPr="001941B0">
              <w:rPr>
                <w:rFonts w:cs="Calibri"/>
                <w:bCs/>
                <w:sz w:val="20"/>
                <w:szCs w:val="20"/>
              </w:rPr>
              <w:t>zachowują możliwość powiązania zdarzeń medycznych dotyczących tej samej osoby</w:t>
            </w:r>
            <w:r w:rsidR="00BD5A04" w:rsidRPr="001941B0">
              <w:rPr>
                <w:rFonts w:cs="Calibri"/>
                <w:bCs/>
                <w:sz w:val="20"/>
                <w:szCs w:val="20"/>
              </w:rPr>
              <w:t xml:space="preserve"> </w:t>
            </w:r>
            <w:r w:rsidRPr="001941B0">
              <w:rPr>
                <w:rFonts w:cs="Calibri"/>
                <w:bCs/>
                <w:sz w:val="20"/>
                <w:szCs w:val="20"/>
              </w:rPr>
              <w:t>fizycznej w czasie, podlegają separacji i zabezpieczeniom organizacyjnym oraz</w:t>
            </w:r>
            <w:r w:rsidR="00BD5A04" w:rsidRPr="001941B0">
              <w:rPr>
                <w:rFonts w:cs="Calibri"/>
                <w:bCs/>
                <w:sz w:val="20"/>
                <w:szCs w:val="20"/>
              </w:rPr>
              <w:t xml:space="preserve"> </w:t>
            </w:r>
            <w:r w:rsidRPr="001941B0">
              <w:rPr>
                <w:rFonts w:cs="Calibri"/>
                <w:bCs/>
                <w:sz w:val="20"/>
                <w:szCs w:val="20"/>
              </w:rPr>
              <w:t>technicznym zgodnym z art. 32 rozporządzenia, o którym mowa w ust. 1.”.</w:t>
            </w:r>
            <w:r w:rsidR="00A37353" w:rsidRPr="001941B0">
              <w:rPr>
                <w:rFonts w:cs="Calibri"/>
                <w:bCs/>
                <w:sz w:val="20"/>
                <w:szCs w:val="20"/>
              </w:rPr>
              <w:t xml:space="preserve"> </w:t>
            </w:r>
            <w:r w:rsidR="00A37353" w:rsidRPr="001941B0">
              <w:t xml:space="preserve"> </w:t>
            </w:r>
            <w:r w:rsidR="00A37353" w:rsidRPr="001941B0">
              <w:rPr>
                <w:rFonts w:cs="Calibri"/>
                <w:bCs/>
                <w:sz w:val="20"/>
                <w:szCs w:val="20"/>
              </w:rPr>
              <w:t>Wskazanie przez projektodawcę na środki określone w art. 32 rozporządzenia</w:t>
            </w:r>
            <w:r w:rsidR="00C91916" w:rsidRPr="001941B0">
              <w:rPr>
                <w:rFonts w:cs="Calibri"/>
                <w:bCs/>
                <w:sz w:val="20"/>
                <w:szCs w:val="20"/>
              </w:rPr>
              <w:t xml:space="preserve"> </w:t>
            </w:r>
            <w:r w:rsidR="00A37353" w:rsidRPr="001941B0">
              <w:rPr>
                <w:rFonts w:cs="Calibri"/>
                <w:bCs/>
                <w:sz w:val="20"/>
                <w:szCs w:val="20"/>
              </w:rPr>
              <w:t>2016/679, bez ich wymienienia i doprecyzowania pod względem kryteriów jakie mają</w:t>
            </w:r>
            <w:r w:rsidR="00C91916" w:rsidRPr="001941B0">
              <w:rPr>
                <w:rFonts w:cs="Calibri"/>
                <w:bCs/>
                <w:sz w:val="20"/>
                <w:szCs w:val="20"/>
              </w:rPr>
              <w:t xml:space="preserve"> </w:t>
            </w:r>
            <w:r w:rsidR="00A37353" w:rsidRPr="001941B0">
              <w:rPr>
                <w:rFonts w:cs="Calibri"/>
                <w:bCs/>
                <w:sz w:val="20"/>
                <w:szCs w:val="20"/>
              </w:rPr>
              <w:t>spełniać odpowiednio do ratio legis oraz jak mają być stosowane, nie niesie żadnej</w:t>
            </w:r>
            <w:r w:rsidR="00C91916" w:rsidRPr="001941B0">
              <w:rPr>
                <w:rFonts w:cs="Calibri"/>
                <w:bCs/>
                <w:sz w:val="20"/>
                <w:szCs w:val="20"/>
              </w:rPr>
              <w:t xml:space="preserve"> </w:t>
            </w:r>
            <w:r w:rsidR="00A37353" w:rsidRPr="001941B0">
              <w:rPr>
                <w:rFonts w:cs="Calibri"/>
                <w:bCs/>
                <w:sz w:val="20"/>
                <w:szCs w:val="20"/>
              </w:rPr>
              <w:t>wartości normatywnej. Każdy administrator, używający narzędzi podobnych do systemu</w:t>
            </w:r>
            <w:r w:rsidR="00C91916" w:rsidRPr="001941B0">
              <w:rPr>
                <w:rFonts w:cs="Calibri"/>
                <w:bCs/>
                <w:sz w:val="20"/>
                <w:szCs w:val="20"/>
              </w:rPr>
              <w:t xml:space="preserve"> </w:t>
            </w:r>
            <w:r w:rsidR="00A37353" w:rsidRPr="001941B0">
              <w:rPr>
                <w:rFonts w:cs="Calibri"/>
                <w:bCs/>
                <w:sz w:val="20"/>
                <w:szCs w:val="20"/>
              </w:rPr>
              <w:t>teleinformatycznego, o którym mowa w</w:t>
            </w:r>
            <w:r w:rsidR="00C91916" w:rsidRPr="001941B0">
              <w:rPr>
                <w:rFonts w:cs="Calibri"/>
                <w:bCs/>
                <w:sz w:val="20"/>
                <w:szCs w:val="20"/>
              </w:rPr>
              <w:t xml:space="preserve"> </w:t>
            </w:r>
            <w:r w:rsidR="00A37353" w:rsidRPr="001941B0">
              <w:rPr>
                <w:rFonts w:cs="Calibri"/>
                <w:bCs/>
                <w:sz w:val="20"/>
                <w:szCs w:val="20"/>
              </w:rPr>
              <w:t>projektowanym przepisie jest mocą art. 32</w:t>
            </w:r>
            <w:r w:rsidR="00C91916" w:rsidRPr="001941B0">
              <w:rPr>
                <w:rFonts w:cs="Calibri"/>
                <w:bCs/>
                <w:sz w:val="20"/>
                <w:szCs w:val="20"/>
              </w:rPr>
              <w:t xml:space="preserve"> </w:t>
            </w:r>
            <w:r w:rsidR="00A37353" w:rsidRPr="001941B0">
              <w:rPr>
                <w:rFonts w:cs="Calibri"/>
                <w:bCs/>
                <w:sz w:val="20"/>
                <w:szCs w:val="20"/>
              </w:rPr>
              <w:t>rozporządzenia 2016/679 zobowiązany do określonych działań polegających na wdrożeniu</w:t>
            </w:r>
            <w:r w:rsidR="00C91916" w:rsidRPr="001941B0">
              <w:rPr>
                <w:rFonts w:cs="Calibri"/>
                <w:bCs/>
                <w:sz w:val="20"/>
                <w:szCs w:val="20"/>
              </w:rPr>
              <w:t xml:space="preserve"> </w:t>
            </w:r>
            <w:r w:rsidR="00A37353" w:rsidRPr="001941B0">
              <w:rPr>
                <w:rFonts w:cs="Calibri"/>
                <w:bCs/>
                <w:sz w:val="20"/>
                <w:szCs w:val="20"/>
              </w:rPr>
              <w:t>odpowiednich środków technicznych i organizacyjnych zapewniających stopień</w:t>
            </w:r>
            <w:r w:rsidR="00C91916" w:rsidRPr="001941B0">
              <w:rPr>
                <w:rFonts w:cs="Calibri"/>
                <w:bCs/>
                <w:sz w:val="20"/>
                <w:szCs w:val="20"/>
              </w:rPr>
              <w:t xml:space="preserve"> </w:t>
            </w:r>
            <w:r w:rsidR="00A37353" w:rsidRPr="001941B0">
              <w:rPr>
                <w:rFonts w:cs="Calibri"/>
                <w:bCs/>
                <w:sz w:val="20"/>
                <w:szCs w:val="20"/>
              </w:rPr>
              <w:t>bezpieczeństwa odpowiadających ryzyku związanemu z przetwarzaniem danych</w:t>
            </w:r>
            <w:r w:rsidR="00C91916" w:rsidRPr="001941B0">
              <w:rPr>
                <w:rFonts w:cs="Calibri"/>
                <w:bCs/>
                <w:sz w:val="20"/>
                <w:szCs w:val="20"/>
              </w:rPr>
              <w:t xml:space="preserve"> </w:t>
            </w:r>
            <w:r w:rsidR="00A37353" w:rsidRPr="001941B0">
              <w:rPr>
                <w:rFonts w:cs="Calibri"/>
                <w:bCs/>
                <w:sz w:val="20"/>
                <w:szCs w:val="20"/>
              </w:rPr>
              <w:t>osobowych, adekwatnie do charakteru, zakresu, kontekstu i celów przetwarzania oraz do</w:t>
            </w:r>
          </w:p>
          <w:p w14:paraId="2288D1E5" w14:textId="202D031B" w:rsidR="00A37353" w:rsidRPr="001941B0" w:rsidRDefault="00A37353" w:rsidP="00A37353">
            <w:pPr>
              <w:autoSpaceDE w:val="0"/>
              <w:autoSpaceDN w:val="0"/>
              <w:adjustRightInd w:val="0"/>
              <w:spacing w:after="0" w:line="240" w:lineRule="auto"/>
              <w:rPr>
                <w:rFonts w:cs="Calibri"/>
                <w:bCs/>
                <w:sz w:val="20"/>
                <w:szCs w:val="20"/>
              </w:rPr>
            </w:pPr>
            <w:r w:rsidRPr="001941B0">
              <w:rPr>
                <w:rFonts w:cs="Calibri"/>
                <w:bCs/>
                <w:sz w:val="20"/>
                <w:szCs w:val="20"/>
              </w:rPr>
              <w:t>ryzyka naruszenia praw lub wolności osób fizycznych o różnym prawdopodobieństwie ich</w:t>
            </w:r>
            <w:r w:rsidR="00C91916" w:rsidRPr="001941B0">
              <w:rPr>
                <w:rFonts w:cs="Calibri"/>
                <w:bCs/>
                <w:sz w:val="20"/>
                <w:szCs w:val="20"/>
              </w:rPr>
              <w:t xml:space="preserve"> </w:t>
            </w:r>
            <w:r w:rsidRPr="001941B0">
              <w:rPr>
                <w:rFonts w:cs="Calibri"/>
                <w:bCs/>
                <w:sz w:val="20"/>
                <w:szCs w:val="20"/>
              </w:rPr>
              <w:t>wystąpienia i różnej wadze.</w:t>
            </w:r>
            <w:r w:rsidR="00C91916" w:rsidRPr="001941B0">
              <w:rPr>
                <w:rFonts w:cs="Calibri"/>
                <w:bCs/>
                <w:sz w:val="20"/>
                <w:szCs w:val="20"/>
              </w:rPr>
              <w:t xml:space="preserve"> </w:t>
            </w:r>
            <w:r w:rsidRPr="001941B0">
              <w:rPr>
                <w:rFonts w:cs="Calibri"/>
                <w:bCs/>
                <w:sz w:val="20"/>
                <w:szCs w:val="20"/>
              </w:rPr>
              <w:t>Prawodawca, przepisami rozporządzania 2016/679 nie</w:t>
            </w:r>
            <w:r w:rsidR="00C91916" w:rsidRPr="001941B0">
              <w:rPr>
                <w:rFonts w:cs="Calibri"/>
                <w:bCs/>
                <w:sz w:val="20"/>
                <w:szCs w:val="20"/>
              </w:rPr>
              <w:t xml:space="preserve"> </w:t>
            </w:r>
            <w:r w:rsidRPr="001941B0">
              <w:rPr>
                <w:rFonts w:cs="Calibri"/>
                <w:bCs/>
                <w:sz w:val="20"/>
                <w:szCs w:val="20"/>
              </w:rPr>
              <w:t>wskazuje żadnych konkretnych rozwiązań dotyczących bezpieczeństwa przetwarzania</w:t>
            </w:r>
            <w:r w:rsidR="00C91916" w:rsidRPr="001941B0">
              <w:rPr>
                <w:rFonts w:cs="Calibri"/>
                <w:bCs/>
                <w:sz w:val="20"/>
                <w:szCs w:val="20"/>
              </w:rPr>
              <w:t xml:space="preserve"> </w:t>
            </w:r>
            <w:r w:rsidRPr="001941B0">
              <w:rPr>
                <w:rFonts w:cs="Calibri"/>
                <w:bCs/>
                <w:sz w:val="20"/>
                <w:szCs w:val="20"/>
              </w:rPr>
              <w:t>danych. To twórca regulacji krajowej obowiązany jest przyjąć w przepisach odpowiednie</w:t>
            </w:r>
            <w:r w:rsidR="00C91916" w:rsidRPr="001941B0">
              <w:rPr>
                <w:rFonts w:cs="Calibri"/>
                <w:bCs/>
                <w:sz w:val="20"/>
                <w:szCs w:val="20"/>
              </w:rPr>
              <w:t xml:space="preserve"> </w:t>
            </w:r>
            <w:r w:rsidRPr="001941B0">
              <w:rPr>
                <w:rFonts w:cs="Calibri"/>
                <w:bCs/>
                <w:sz w:val="20"/>
                <w:szCs w:val="20"/>
              </w:rPr>
              <w:t>do wprowadzanych procesów przetwarzania danych gwarancje, po i na podstawie</w:t>
            </w:r>
          </w:p>
          <w:p w14:paraId="024E7D75" w14:textId="0F6F745E" w:rsidR="00A37353" w:rsidRPr="001941B0" w:rsidRDefault="00A37353" w:rsidP="00A37353">
            <w:pPr>
              <w:autoSpaceDE w:val="0"/>
              <w:autoSpaceDN w:val="0"/>
              <w:adjustRightInd w:val="0"/>
              <w:spacing w:after="0" w:line="240" w:lineRule="auto"/>
              <w:rPr>
                <w:rFonts w:cs="Calibri"/>
                <w:bCs/>
                <w:sz w:val="20"/>
                <w:szCs w:val="20"/>
              </w:rPr>
            </w:pPr>
            <w:r w:rsidRPr="001941B0">
              <w:rPr>
                <w:rFonts w:cs="Calibri"/>
                <w:bCs/>
                <w:sz w:val="20"/>
                <w:szCs w:val="20"/>
              </w:rPr>
              <w:t>przeprowadzonej w toku procesu legislacyjnego analizy ryzyka i oceny skutków dla</w:t>
            </w:r>
            <w:r w:rsidR="00C91916" w:rsidRPr="001941B0">
              <w:rPr>
                <w:rFonts w:cs="Calibri"/>
                <w:bCs/>
                <w:sz w:val="20"/>
                <w:szCs w:val="20"/>
              </w:rPr>
              <w:t xml:space="preserve"> </w:t>
            </w:r>
            <w:r w:rsidRPr="001941B0">
              <w:rPr>
                <w:rFonts w:cs="Calibri"/>
                <w:bCs/>
                <w:sz w:val="20"/>
                <w:szCs w:val="20"/>
              </w:rPr>
              <w:t>ochrony danych, z uwzględnieniem art. 6 ust. 3 i art. 9 rozporządzenia 2016/679.</w:t>
            </w:r>
            <w:r w:rsidR="00C91916" w:rsidRPr="001941B0">
              <w:rPr>
                <w:rFonts w:cs="Calibri"/>
                <w:bCs/>
                <w:sz w:val="20"/>
                <w:szCs w:val="20"/>
              </w:rPr>
              <w:t xml:space="preserve"> </w:t>
            </w:r>
            <w:r w:rsidRPr="001941B0">
              <w:rPr>
                <w:rFonts w:cs="Calibri"/>
                <w:bCs/>
                <w:sz w:val="20"/>
                <w:szCs w:val="20"/>
              </w:rPr>
              <w:t>Wyjaśnienia wymaga, czy będą istniały jeszcze jakieś dodatkowe rodzaje</w:t>
            </w:r>
            <w:r w:rsidR="00C91916" w:rsidRPr="001941B0">
              <w:rPr>
                <w:rFonts w:cs="Calibri"/>
                <w:bCs/>
                <w:sz w:val="20"/>
                <w:szCs w:val="20"/>
              </w:rPr>
              <w:t xml:space="preserve"> </w:t>
            </w:r>
            <w:r w:rsidRPr="001941B0">
              <w:rPr>
                <w:rFonts w:cs="Calibri"/>
                <w:bCs/>
                <w:sz w:val="20"/>
                <w:szCs w:val="20"/>
              </w:rPr>
              <w:lastRenderedPageBreak/>
              <w:t>psedonimizowanych danych oprócz wymienionych w art. 5a ust. 3, i jakie będą warunki</w:t>
            </w:r>
          </w:p>
          <w:p w14:paraId="765DD94D" w14:textId="6D3CEDE5" w:rsidR="0020339F" w:rsidRPr="001941B0" w:rsidRDefault="00A37353" w:rsidP="00A37353">
            <w:pPr>
              <w:autoSpaceDE w:val="0"/>
              <w:autoSpaceDN w:val="0"/>
              <w:adjustRightInd w:val="0"/>
              <w:spacing w:after="0" w:line="240" w:lineRule="auto"/>
              <w:rPr>
                <w:rFonts w:cs="Calibri"/>
                <w:bCs/>
                <w:sz w:val="20"/>
                <w:szCs w:val="20"/>
              </w:rPr>
            </w:pPr>
            <w:r w:rsidRPr="001941B0">
              <w:rPr>
                <w:rFonts w:cs="Calibri"/>
                <w:bCs/>
                <w:sz w:val="20"/>
                <w:szCs w:val="20"/>
              </w:rPr>
              <w:t>przetwarzania i ochrony tych danych. Konieczne jest przyjęcie przepisów nakładających</w:t>
            </w:r>
            <w:r w:rsidR="00C91916" w:rsidRPr="001941B0">
              <w:rPr>
                <w:rFonts w:cs="Calibri"/>
                <w:bCs/>
                <w:sz w:val="20"/>
                <w:szCs w:val="20"/>
              </w:rPr>
              <w:t xml:space="preserve"> </w:t>
            </w:r>
            <w:r w:rsidRPr="001941B0">
              <w:rPr>
                <w:rFonts w:cs="Calibri"/>
                <w:bCs/>
                <w:sz w:val="20"/>
                <w:szCs w:val="20"/>
              </w:rPr>
              <w:t>obowiązek przyjęcia skonkretyzowanych rozwiązań czy choćby rozwiązań</w:t>
            </w:r>
            <w:r w:rsidR="00C91916" w:rsidRPr="001941B0">
              <w:rPr>
                <w:rFonts w:cs="Calibri"/>
                <w:bCs/>
                <w:sz w:val="20"/>
                <w:szCs w:val="20"/>
              </w:rPr>
              <w:t xml:space="preserve"> </w:t>
            </w:r>
            <w:r w:rsidRPr="001941B0">
              <w:rPr>
                <w:rFonts w:cs="Calibri"/>
                <w:bCs/>
                <w:sz w:val="20"/>
                <w:szCs w:val="20"/>
              </w:rPr>
              <w:t>odpowiadających</w:t>
            </w:r>
            <w:r w:rsidR="00C91916" w:rsidRPr="001941B0">
              <w:rPr>
                <w:rFonts w:cs="Calibri"/>
                <w:bCs/>
                <w:sz w:val="20"/>
                <w:szCs w:val="20"/>
              </w:rPr>
              <w:t xml:space="preserve"> </w:t>
            </w:r>
            <w:r w:rsidRPr="001941B0">
              <w:rPr>
                <w:rFonts w:cs="Calibri"/>
                <w:bCs/>
                <w:sz w:val="20"/>
                <w:szCs w:val="20"/>
              </w:rPr>
              <w:t>skonkretyzowanym w przepisach kryteriom jest konieczne również z</w:t>
            </w:r>
            <w:r w:rsidR="00C91916" w:rsidRPr="001941B0">
              <w:rPr>
                <w:rFonts w:cs="Calibri"/>
                <w:bCs/>
                <w:sz w:val="20"/>
                <w:szCs w:val="20"/>
              </w:rPr>
              <w:t xml:space="preserve"> </w:t>
            </w:r>
            <w:r w:rsidRPr="001941B0">
              <w:rPr>
                <w:rFonts w:cs="Calibri"/>
                <w:bCs/>
                <w:sz w:val="20"/>
                <w:szCs w:val="20"/>
              </w:rPr>
              <w:t>punktu widzenia zasad: zgodności z prawem, rzetelności i przejrzystości, ograniczenia</w:t>
            </w:r>
            <w:r w:rsidR="00C91916" w:rsidRPr="001941B0">
              <w:rPr>
                <w:rFonts w:cs="Calibri"/>
                <w:bCs/>
                <w:sz w:val="20"/>
                <w:szCs w:val="20"/>
              </w:rPr>
              <w:t xml:space="preserve"> </w:t>
            </w:r>
            <w:r w:rsidRPr="001941B0">
              <w:rPr>
                <w:rFonts w:cs="Calibri"/>
                <w:bCs/>
                <w:sz w:val="20"/>
                <w:szCs w:val="20"/>
              </w:rPr>
              <w:t>celu, minimalizacji danych, poufności i integralności oraz rozliczalności.</w:t>
            </w:r>
          </w:p>
        </w:tc>
        <w:tc>
          <w:tcPr>
            <w:tcW w:w="2855" w:type="dxa"/>
            <w:shd w:val="clear" w:color="auto" w:fill="FFFFFF" w:themeFill="background1"/>
          </w:tcPr>
          <w:p w14:paraId="3864A6F3" w14:textId="34A97E9F" w:rsidR="00B36A3E" w:rsidRPr="001941B0" w:rsidRDefault="00B36A3E" w:rsidP="006E0CB2">
            <w:pPr>
              <w:autoSpaceDE w:val="0"/>
              <w:autoSpaceDN w:val="0"/>
              <w:adjustRightInd w:val="0"/>
              <w:spacing w:after="0" w:line="240" w:lineRule="auto"/>
              <w:rPr>
                <w:b/>
                <w:bCs/>
                <w:sz w:val="20"/>
                <w:szCs w:val="20"/>
              </w:rPr>
            </w:pPr>
            <w:r w:rsidRPr="001941B0">
              <w:rPr>
                <w:b/>
                <w:bCs/>
                <w:sz w:val="20"/>
                <w:szCs w:val="20"/>
              </w:rPr>
              <w:lastRenderedPageBreak/>
              <w:t xml:space="preserve">Uwaga </w:t>
            </w:r>
            <w:r w:rsidR="001B219E" w:rsidRPr="001941B0">
              <w:rPr>
                <w:b/>
                <w:bCs/>
                <w:sz w:val="20"/>
                <w:szCs w:val="20"/>
              </w:rPr>
              <w:t xml:space="preserve">częściowo </w:t>
            </w:r>
            <w:r w:rsidRPr="001941B0">
              <w:rPr>
                <w:b/>
                <w:bCs/>
                <w:sz w:val="20"/>
                <w:szCs w:val="20"/>
              </w:rPr>
              <w:t>uwzględniona</w:t>
            </w:r>
          </w:p>
          <w:p w14:paraId="075393E9" w14:textId="391AE149" w:rsidR="001B219E" w:rsidRPr="001941B0" w:rsidRDefault="0054210C" w:rsidP="006A66C2">
            <w:pPr>
              <w:autoSpaceDE w:val="0"/>
              <w:autoSpaceDN w:val="0"/>
              <w:adjustRightInd w:val="0"/>
              <w:spacing w:after="0" w:line="240" w:lineRule="auto"/>
              <w:rPr>
                <w:rFonts w:cstheme="minorHAnsi"/>
                <w:bCs/>
                <w:iCs/>
                <w:sz w:val="20"/>
                <w:szCs w:val="20"/>
              </w:rPr>
            </w:pPr>
            <w:r w:rsidRPr="001941B0">
              <w:rPr>
                <w:sz w:val="20"/>
                <w:szCs w:val="20"/>
              </w:rPr>
              <w:t xml:space="preserve">Uwaga jest w powiązaniu z uwagą RCL </w:t>
            </w:r>
            <w:r w:rsidR="001B219E" w:rsidRPr="001941B0">
              <w:rPr>
                <w:rFonts w:cstheme="minorHAnsi"/>
                <w:bCs/>
                <w:iCs/>
                <w:sz w:val="20"/>
                <w:szCs w:val="20"/>
              </w:rPr>
              <w:t>nr 15 w pliku uzgodnień</w:t>
            </w:r>
            <w:r w:rsidR="006A66C2" w:rsidRPr="001941B0">
              <w:rPr>
                <w:rFonts w:cstheme="minorHAnsi"/>
                <w:bCs/>
                <w:iCs/>
                <w:sz w:val="20"/>
                <w:szCs w:val="20"/>
              </w:rPr>
              <w:t>.</w:t>
            </w:r>
          </w:p>
          <w:p w14:paraId="7B9D0AE7" w14:textId="77777777" w:rsidR="001B219E" w:rsidRPr="001941B0" w:rsidRDefault="001B219E" w:rsidP="006E0CB2">
            <w:pPr>
              <w:autoSpaceDE w:val="0"/>
              <w:autoSpaceDN w:val="0"/>
              <w:adjustRightInd w:val="0"/>
              <w:spacing w:after="0" w:line="240" w:lineRule="auto"/>
              <w:rPr>
                <w:sz w:val="20"/>
                <w:szCs w:val="20"/>
              </w:rPr>
            </w:pPr>
          </w:p>
          <w:p w14:paraId="0966463A" w14:textId="370C79F5" w:rsidR="0020339F" w:rsidRPr="001941B0" w:rsidRDefault="5E553A52" w:rsidP="006E0CB2">
            <w:pPr>
              <w:autoSpaceDE w:val="0"/>
              <w:autoSpaceDN w:val="0"/>
              <w:adjustRightInd w:val="0"/>
              <w:spacing w:after="0" w:line="240" w:lineRule="auto"/>
              <w:rPr>
                <w:sz w:val="20"/>
                <w:szCs w:val="20"/>
              </w:rPr>
            </w:pPr>
            <w:r w:rsidRPr="001941B0">
              <w:rPr>
                <w:sz w:val="20"/>
                <w:szCs w:val="20"/>
              </w:rPr>
              <w:lastRenderedPageBreak/>
              <w:t xml:space="preserve">W pozostałym zakresie </w:t>
            </w:r>
            <w:r w:rsidR="008B1C33" w:rsidRPr="001941B0">
              <w:rPr>
                <w:sz w:val="20"/>
                <w:szCs w:val="20"/>
              </w:rPr>
              <w:t xml:space="preserve">należy wskazać że </w:t>
            </w:r>
            <w:r w:rsidR="002A3239" w:rsidRPr="001941B0">
              <w:rPr>
                <w:sz w:val="20"/>
                <w:szCs w:val="20"/>
              </w:rPr>
              <w:t xml:space="preserve">zasada </w:t>
            </w:r>
            <w:r w:rsidR="00EE0F8E" w:rsidRPr="001941B0">
              <w:rPr>
                <w:rFonts w:cs="Calibri"/>
                <w:bCs/>
                <w:sz w:val="20"/>
                <w:szCs w:val="20"/>
              </w:rPr>
              <w:t xml:space="preserve"> pseudonimizacji</w:t>
            </w:r>
            <w:r w:rsidR="00EE0F8E" w:rsidRPr="001941B0">
              <w:rPr>
                <w:sz w:val="20"/>
                <w:szCs w:val="20"/>
              </w:rPr>
              <w:t xml:space="preserve"> </w:t>
            </w:r>
            <w:r w:rsidR="002A3239" w:rsidRPr="001941B0">
              <w:rPr>
                <w:sz w:val="20"/>
                <w:szCs w:val="20"/>
              </w:rPr>
              <w:t xml:space="preserve"> jest </w:t>
            </w:r>
            <w:r w:rsidR="001E0BA6" w:rsidRPr="001941B0">
              <w:rPr>
                <w:sz w:val="20"/>
                <w:szCs w:val="20"/>
              </w:rPr>
              <w:t>określona</w:t>
            </w:r>
            <w:r w:rsidR="002A3239" w:rsidRPr="001941B0">
              <w:rPr>
                <w:sz w:val="20"/>
                <w:szCs w:val="20"/>
              </w:rPr>
              <w:t xml:space="preserve"> w przepisach </w:t>
            </w:r>
            <w:r w:rsidR="00FB7DA2" w:rsidRPr="001941B0">
              <w:rPr>
                <w:sz w:val="20"/>
                <w:szCs w:val="20"/>
              </w:rPr>
              <w:t xml:space="preserve">odrębnych </w:t>
            </w:r>
            <w:r w:rsidR="00EE0F8E" w:rsidRPr="001941B0">
              <w:rPr>
                <w:sz w:val="20"/>
                <w:szCs w:val="20"/>
              </w:rPr>
              <w:t xml:space="preserve">i nie ma potrzeby powtarzać ich w </w:t>
            </w:r>
            <w:r w:rsidR="001E0BA6" w:rsidRPr="001941B0">
              <w:rPr>
                <w:sz w:val="20"/>
                <w:szCs w:val="20"/>
              </w:rPr>
              <w:t>przepisach</w:t>
            </w:r>
            <w:r w:rsidR="00EE0F8E" w:rsidRPr="001941B0">
              <w:rPr>
                <w:sz w:val="20"/>
                <w:szCs w:val="20"/>
              </w:rPr>
              <w:t xml:space="preserve"> ustawy. </w:t>
            </w:r>
          </w:p>
        </w:tc>
      </w:tr>
      <w:tr w:rsidR="00FC7212" w:rsidRPr="001941B0" w14:paraId="03F8B428" w14:textId="77777777" w:rsidTr="7139DBB9">
        <w:tc>
          <w:tcPr>
            <w:tcW w:w="1125" w:type="dxa"/>
            <w:shd w:val="clear" w:color="auto" w:fill="FFFFFF" w:themeFill="background1"/>
          </w:tcPr>
          <w:p w14:paraId="0834A70D" w14:textId="77777777" w:rsidR="000B6AB5" w:rsidRPr="001941B0" w:rsidRDefault="000B6AB5"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6F94702" w14:textId="1C460920" w:rsidR="000B6AB5" w:rsidRPr="001941B0" w:rsidRDefault="000B6AB5"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2A9BDC3F" w14:textId="05C48488" w:rsidR="000B6AB5" w:rsidRPr="001941B0" w:rsidRDefault="005C3A59" w:rsidP="006E0CB2">
            <w:pPr>
              <w:autoSpaceDE w:val="0"/>
              <w:autoSpaceDN w:val="0"/>
              <w:adjustRightInd w:val="0"/>
              <w:spacing w:after="0" w:line="240" w:lineRule="auto"/>
              <w:rPr>
                <w:rFonts w:cs="Calibri"/>
                <w:sz w:val="20"/>
                <w:szCs w:val="20"/>
              </w:rPr>
            </w:pPr>
            <w:r>
              <w:rPr>
                <w:rFonts w:cs="Calibri"/>
                <w:sz w:val="20"/>
                <w:szCs w:val="20"/>
              </w:rPr>
              <w:t>A</w:t>
            </w:r>
            <w:r w:rsidR="00C31059" w:rsidRPr="001941B0">
              <w:rPr>
                <w:rFonts w:cs="Calibri"/>
                <w:sz w:val="20"/>
                <w:szCs w:val="20"/>
              </w:rPr>
              <w:t xml:space="preserve">rt. 5 pkt 4 lit. </w:t>
            </w:r>
            <w:r w:rsidR="00960DF6" w:rsidRPr="001941B0">
              <w:rPr>
                <w:rFonts w:cs="Calibri"/>
                <w:sz w:val="20"/>
                <w:szCs w:val="20"/>
              </w:rPr>
              <w:t>C</w:t>
            </w:r>
          </w:p>
          <w:p w14:paraId="694DE2DF" w14:textId="77777777" w:rsidR="00960DF6" w:rsidRPr="001941B0" w:rsidRDefault="00960DF6" w:rsidP="006E0CB2">
            <w:pPr>
              <w:autoSpaceDE w:val="0"/>
              <w:autoSpaceDN w:val="0"/>
              <w:adjustRightInd w:val="0"/>
              <w:spacing w:after="0" w:line="240" w:lineRule="auto"/>
              <w:rPr>
                <w:rFonts w:cs="Calibri"/>
                <w:sz w:val="20"/>
                <w:szCs w:val="20"/>
              </w:rPr>
            </w:pPr>
          </w:p>
          <w:p w14:paraId="6CBDC00A" w14:textId="77777777" w:rsidR="00982DC3" w:rsidRPr="001941B0" w:rsidRDefault="00982DC3" w:rsidP="006E0CB2">
            <w:pPr>
              <w:autoSpaceDE w:val="0"/>
              <w:autoSpaceDN w:val="0"/>
              <w:adjustRightInd w:val="0"/>
              <w:spacing w:after="0" w:line="240" w:lineRule="auto"/>
              <w:rPr>
                <w:rFonts w:cs="Calibri"/>
                <w:sz w:val="20"/>
                <w:szCs w:val="20"/>
              </w:rPr>
            </w:pPr>
          </w:p>
          <w:p w14:paraId="0425F4CB" w14:textId="48A7B230" w:rsidR="000B6AB5" w:rsidRPr="001941B0" w:rsidRDefault="000B6AB5"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68D00263" w14:textId="1079F390" w:rsidR="001C2D71" w:rsidRPr="001941B0" w:rsidRDefault="00D3683C" w:rsidP="00D3683C">
            <w:pPr>
              <w:autoSpaceDE w:val="0"/>
              <w:autoSpaceDN w:val="0"/>
              <w:adjustRightInd w:val="0"/>
              <w:spacing w:after="0" w:line="240" w:lineRule="auto"/>
              <w:rPr>
                <w:rFonts w:cs="Calibri"/>
                <w:bCs/>
                <w:sz w:val="20"/>
                <w:szCs w:val="20"/>
              </w:rPr>
            </w:pPr>
            <w:r w:rsidRPr="001941B0">
              <w:rPr>
                <w:rFonts w:cs="Calibri"/>
                <w:bCs/>
                <w:sz w:val="20"/>
                <w:szCs w:val="20"/>
              </w:rPr>
              <w:t>5.</w:t>
            </w:r>
            <w:r w:rsidR="001C2D71" w:rsidRPr="001941B0">
              <w:rPr>
                <w:rFonts w:cs="Calibri"/>
                <w:bCs/>
                <w:sz w:val="20"/>
                <w:szCs w:val="20"/>
              </w:rPr>
              <w:t>Zgodnie z art. 7 ust 1 pkt 16 i 17 ustawy o systemie informacji w ochronie</w:t>
            </w:r>
            <w:r w:rsidR="00587109" w:rsidRPr="001941B0">
              <w:rPr>
                <w:rFonts w:cs="Calibri"/>
                <w:bCs/>
                <w:sz w:val="20"/>
                <w:szCs w:val="20"/>
              </w:rPr>
              <w:t xml:space="preserve"> </w:t>
            </w:r>
            <w:r w:rsidR="001C2D71" w:rsidRPr="001941B0">
              <w:rPr>
                <w:rFonts w:cs="Calibri"/>
                <w:bCs/>
                <w:sz w:val="20"/>
                <w:szCs w:val="20"/>
              </w:rPr>
              <w:t>zdrowia, Elektroniczna Platforma Gromadzenia, Analizy i Udostępnienia Zasobów</w:t>
            </w:r>
            <w:r w:rsidR="00587109" w:rsidRPr="001941B0">
              <w:rPr>
                <w:rFonts w:cs="Calibri"/>
                <w:bCs/>
                <w:sz w:val="20"/>
                <w:szCs w:val="20"/>
              </w:rPr>
              <w:t xml:space="preserve"> </w:t>
            </w:r>
            <w:r w:rsidR="001C2D71" w:rsidRPr="001941B0">
              <w:rPr>
                <w:rFonts w:cs="Calibri"/>
                <w:bCs/>
                <w:sz w:val="20"/>
                <w:szCs w:val="20"/>
              </w:rPr>
              <w:t>Cyfrowych o Zdarzeniach Medycznych uzyska nowe funkcjonalności: „17) generowanie i</w:t>
            </w:r>
            <w:r w:rsidR="00587109" w:rsidRPr="001941B0">
              <w:rPr>
                <w:rFonts w:cs="Calibri"/>
                <w:bCs/>
                <w:sz w:val="20"/>
                <w:szCs w:val="20"/>
              </w:rPr>
              <w:t xml:space="preserve"> </w:t>
            </w:r>
            <w:r w:rsidR="001C2D71" w:rsidRPr="001941B0">
              <w:rPr>
                <w:rFonts w:cs="Calibri"/>
                <w:bCs/>
                <w:sz w:val="20"/>
                <w:szCs w:val="20"/>
              </w:rPr>
              <w:t>udostępnianie na podstawie zindywidualizowanych jednostkowych danych medycznych</w:t>
            </w:r>
            <w:r w:rsidR="00587109" w:rsidRPr="001941B0">
              <w:rPr>
                <w:rFonts w:cs="Calibri"/>
                <w:bCs/>
                <w:sz w:val="20"/>
                <w:szCs w:val="20"/>
              </w:rPr>
              <w:t xml:space="preserve"> </w:t>
            </w:r>
            <w:r w:rsidR="001C2D71" w:rsidRPr="001941B0">
              <w:rPr>
                <w:rFonts w:cs="Calibri"/>
                <w:bCs/>
                <w:sz w:val="20"/>
                <w:szCs w:val="20"/>
              </w:rPr>
              <w:t>zawartych w SIM, analiz i raportów służących do oceny stanu zdrowia usługobiorcy oraz</w:t>
            </w:r>
            <w:r w:rsidR="00587109" w:rsidRPr="001941B0">
              <w:rPr>
                <w:rFonts w:cs="Calibri"/>
                <w:bCs/>
                <w:sz w:val="20"/>
                <w:szCs w:val="20"/>
              </w:rPr>
              <w:t xml:space="preserve"> </w:t>
            </w:r>
            <w:r w:rsidR="001C2D71" w:rsidRPr="001941B0">
              <w:rPr>
                <w:rFonts w:cs="Calibri"/>
                <w:bCs/>
                <w:sz w:val="20"/>
                <w:szCs w:val="20"/>
              </w:rPr>
              <w:t>stosowanych u niego terapii; 18) przekazywanie przez podmioty, o których mowa w art.</w:t>
            </w:r>
          </w:p>
          <w:p w14:paraId="07C30F70" w14:textId="3D5DC3AE" w:rsidR="001C2D71" w:rsidRPr="001941B0" w:rsidRDefault="001C2D71" w:rsidP="001C2D71">
            <w:pPr>
              <w:autoSpaceDE w:val="0"/>
              <w:autoSpaceDN w:val="0"/>
              <w:adjustRightInd w:val="0"/>
              <w:spacing w:after="0" w:line="240" w:lineRule="auto"/>
              <w:rPr>
                <w:rFonts w:cs="Calibri"/>
                <w:bCs/>
                <w:sz w:val="20"/>
                <w:szCs w:val="20"/>
              </w:rPr>
            </w:pPr>
            <w:r w:rsidRPr="001941B0">
              <w:rPr>
                <w:rFonts w:cs="Calibri"/>
                <w:bCs/>
                <w:sz w:val="20"/>
                <w:szCs w:val="20"/>
              </w:rPr>
              <w:t>11c ust. 3 pkt 3 i ust. 4 do SIM danych dotyczących usługobiorcy, o których mowa w art.</w:t>
            </w:r>
            <w:r w:rsidR="00587109" w:rsidRPr="001941B0">
              <w:rPr>
                <w:rFonts w:cs="Calibri"/>
                <w:bCs/>
                <w:sz w:val="20"/>
                <w:szCs w:val="20"/>
              </w:rPr>
              <w:t xml:space="preserve"> </w:t>
            </w:r>
            <w:r w:rsidRPr="001941B0">
              <w:rPr>
                <w:rFonts w:cs="Calibri"/>
                <w:bCs/>
                <w:sz w:val="20"/>
                <w:szCs w:val="20"/>
              </w:rPr>
              <w:t>11c ust. 1.”. W wyniku przyjęcia</w:t>
            </w:r>
            <w:r w:rsidR="00587109" w:rsidRPr="001941B0">
              <w:rPr>
                <w:rFonts w:cs="Calibri"/>
                <w:bCs/>
                <w:sz w:val="20"/>
                <w:szCs w:val="20"/>
              </w:rPr>
              <w:t xml:space="preserve"> </w:t>
            </w:r>
            <w:r w:rsidRPr="001941B0">
              <w:rPr>
                <w:rFonts w:cs="Calibri"/>
                <w:bCs/>
                <w:sz w:val="20"/>
                <w:szCs w:val="20"/>
              </w:rPr>
              <w:t>projektowanych przepisów Elektroniczna Platforma</w:t>
            </w:r>
            <w:r w:rsidR="00587109" w:rsidRPr="001941B0">
              <w:rPr>
                <w:rFonts w:cs="Calibri"/>
                <w:bCs/>
                <w:sz w:val="20"/>
                <w:szCs w:val="20"/>
              </w:rPr>
              <w:t xml:space="preserve"> </w:t>
            </w:r>
            <w:r w:rsidRPr="001941B0">
              <w:rPr>
                <w:rFonts w:cs="Calibri"/>
                <w:bCs/>
                <w:sz w:val="20"/>
                <w:szCs w:val="20"/>
              </w:rPr>
              <w:t>Gromadzenia, Analizy i Udostępnienia Zasobów Cyfrowych o Zdarzeniach Medycznych</w:t>
            </w:r>
            <w:r w:rsidR="00587109" w:rsidRPr="001941B0">
              <w:rPr>
                <w:rFonts w:cs="Calibri"/>
                <w:bCs/>
                <w:sz w:val="20"/>
                <w:szCs w:val="20"/>
              </w:rPr>
              <w:t xml:space="preserve"> </w:t>
            </w:r>
            <w:r w:rsidRPr="001941B0">
              <w:rPr>
                <w:rFonts w:cs="Calibri"/>
                <w:bCs/>
                <w:sz w:val="20"/>
                <w:szCs w:val="20"/>
              </w:rPr>
              <w:t>będzie „generować analizy i raporty z systemu Domowej Opieki Medycznej (art. 11c), który</w:t>
            </w:r>
            <w:r w:rsidR="00587109" w:rsidRPr="001941B0">
              <w:rPr>
                <w:rFonts w:cs="Calibri"/>
                <w:bCs/>
                <w:sz w:val="20"/>
                <w:szCs w:val="20"/>
              </w:rPr>
              <w:t xml:space="preserve"> </w:t>
            </w:r>
            <w:r w:rsidRPr="001941B0">
              <w:rPr>
                <w:rFonts w:cs="Calibri"/>
                <w:bCs/>
                <w:sz w:val="20"/>
                <w:szCs w:val="20"/>
              </w:rPr>
              <w:t>jak wskazano w uzasadnieniu do projektu ustawy umożliwi zdalne gromadzenie danych</w:t>
            </w:r>
            <w:r w:rsidR="00587109" w:rsidRPr="001941B0">
              <w:rPr>
                <w:rFonts w:cs="Calibri"/>
                <w:bCs/>
                <w:sz w:val="20"/>
                <w:szCs w:val="20"/>
              </w:rPr>
              <w:t xml:space="preserve"> </w:t>
            </w:r>
            <w:r w:rsidRPr="001941B0">
              <w:rPr>
                <w:rFonts w:cs="Calibri"/>
                <w:bCs/>
                <w:sz w:val="20"/>
                <w:szCs w:val="20"/>
              </w:rPr>
              <w:t>osobowych i jednostkowych danych medycznych pochodzących z wyrobów medycznych</w:t>
            </w:r>
            <w:r w:rsidR="00587109" w:rsidRPr="001941B0">
              <w:rPr>
                <w:rFonts w:cs="Calibri"/>
                <w:bCs/>
                <w:sz w:val="20"/>
                <w:szCs w:val="20"/>
              </w:rPr>
              <w:t xml:space="preserve"> </w:t>
            </w:r>
            <w:r w:rsidRPr="001941B0">
              <w:rPr>
                <w:rFonts w:cs="Calibri"/>
                <w:bCs/>
                <w:sz w:val="20"/>
                <w:szCs w:val="20"/>
              </w:rPr>
              <w:t>albo aplikacji</w:t>
            </w:r>
            <w:r w:rsidR="00587109" w:rsidRPr="001941B0">
              <w:rPr>
                <w:rFonts w:cs="Calibri"/>
                <w:bCs/>
                <w:sz w:val="20"/>
                <w:szCs w:val="20"/>
              </w:rPr>
              <w:t xml:space="preserve"> </w:t>
            </w:r>
            <w:r w:rsidRPr="001941B0">
              <w:rPr>
                <w:rFonts w:cs="Calibri"/>
                <w:bCs/>
                <w:sz w:val="20"/>
                <w:szCs w:val="20"/>
              </w:rPr>
              <w:t>wspierających dobrostan stosowanych przez pacjentów oraz monitorowanie</w:t>
            </w:r>
            <w:r w:rsidR="00587109" w:rsidRPr="001941B0">
              <w:rPr>
                <w:rFonts w:cs="Calibri"/>
                <w:bCs/>
                <w:sz w:val="20"/>
                <w:szCs w:val="20"/>
              </w:rPr>
              <w:t xml:space="preserve"> </w:t>
            </w:r>
            <w:r w:rsidRPr="001941B0">
              <w:rPr>
                <w:rFonts w:cs="Calibri"/>
                <w:bCs/>
                <w:sz w:val="20"/>
                <w:szCs w:val="20"/>
              </w:rPr>
              <w:t>na podstawie tych danych stanu ich zdrowia w celu zapewnienia im adekwatnej opieki</w:t>
            </w:r>
            <w:r w:rsidR="00587109" w:rsidRPr="001941B0">
              <w:rPr>
                <w:rFonts w:cs="Calibri"/>
                <w:bCs/>
                <w:sz w:val="20"/>
                <w:szCs w:val="20"/>
              </w:rPr>
              <w:t xml:space="preserve"> </w:t>
            </w:r>
            <w:r w:rsidRPr="001941B0">
              <w:rPr>
                <w:rFonts w:cs="Calibri"/>
                <w:bCs/>
                <w:sz w:val="20"/>
                <w:szCs w:val="20"/>
              </w:rPr>
              <w:t>zdrowotnej.”.</w:t>
            </w:r>
            <w:r w:rsidR="00587109" w:rsidRPr="001941B0">
              <w:rPr>
                <w:rFonts w:cs="Calibri"/>
                <w:bCs/>
                <w:sz w:val="20"/>
                <w:szCs w:val="20"/>
              </w:rPr>
              <w:t xml:space="preserve"> </w:t>
            </w:r>
            <w:r w:rsidRPr="001941B0">
              <w:rPr>
                <w:rFonts w:cs="Calibri"/>
                <w:bCs/>
                <w:sz w:val="20"/>
                <w:szCs w:val="20"/>
              </w:rPr>
              <w:t>Powstają zatem bardzo istotne pytania: 1) czy Elektroniczna Platforma</w:t>
            </w:r>
          </w:p>
          <w:p w14:paraId="3080E0AB" w14:textId="17FE7F3B" w:rsidR="001C2D71" w:rsidRPr="001941B0" w:rsidRDefault="001C2D71" w:rsidP="001C2D71">
            <w:pPr>
              <w:autoSpaceDE w:val="0"/>
              <w:autoSpaceDN w:val="0"/>
              <w:adjustRightInd w:val="0"/>
              <w:spacing w:after="0" w:line="240" w:lineRule="auto"/>
              <w:rPr>
                <w:rFonts w:cs="Calibri"/>
                <w:bCs/>
                <w:sz w:val="20"/>
                <w:szCs w:val="20"/>
              </w:rPr>
            </w:pPr>
            <w:r w:rsidRPr="001941B0">
              <w:rPr>
                <w:rFonts w:cs="Calibri"/>
                <w:bCs/>
                <w:sz w:val="20"/>
                <w:szCs w:val="20"/>
              </w:rPr>
              <w:t>Gromadzenia, Analizy i Udostępnienia Zasobów Cyfrowych będzie generowała analizy i</w:t>
            </w:r>
            <w:r w:rsidR="00587109" w:rsidRPr="001941B0">
              <w:rPr>
                <w:rFonts w:cs="Calibri"/>
                <w:bCs/>
                <w:sz w:val="20"/>
                <w:szCs w:val="20"/>
              </w:rPr>
              <w:t xml:space="preserve"> </w:t>
            </w:r>
            <w:r w:rsidRPr="001941B0">
              <w:rPr>
                <w:rFonts w:cs="Calibri"/>
                <w:bCs/>
                <w:sz w:val="20"/>
                <w:szCs w:val="20"/>
              </w:rPr>
              <w:t>raporty służących do oceny stanu zdrowia usługobiorcy w oparciu o dane szczególnej</w:t>
            </w:r>
            <w:r w:rsidR="00587109" w:rsidRPr="001941B0">
              <w:rPr>
                <w:rFonts w:cs="Calibri"/>
                <w:bCs/>
                <w:sz w:val="20"/>
                <w:szCs w:val="20"/>
              </w:rPr>
              <w:t xml:space="preserve"> </w:t>
            </w:r>
            <w:r w:rsidRPr="001941B0">
              <w:rPr>
                <w:rFonts w:cs="Calibri"/>
                <w:bCs/>
                <w:sz w:val="20"/>
                <w:szCs w:val="20"/>
              </w:rPr>
              <w:t xml:space="preserve">kategorii w rozumieniu art. 9 ust. 1 rozporządzenia 2016/679 za pomocą </w:t>
            </w:r>
            <w:r w:rsidRPr="001941B0">
              <w:rPr>
                <w:rFonts w:cs="Calibri"/>
                <w:bCs/>
                <w:sz w:val="20"/>
                <w:szCs w:val="20"/>
              </w:rPr>
              <w:lastRenderedPageBreak/>
              <w:t>narzędzi</w:t>
            </w:r>
            <w:r w:rsidR="00587109" w:rsidRPr="001941B0">
              <w:rPr>
                <w:rFonts w:cs="Calibri"/>
                <w:bCs/>
                <w:sz w:val="20"/>
                <w:szCs w:val="20"/>
              </w:rPr>
              <w:t xml:space="preserve"> </w:t>
            </w:r>
            <w:r w:rsidRPr="001941B0">
              <w:rPr>
                <w:rFonts w:cs="Calibri"/>
                <w:bCs/>
                <w:sz w:val="20"/>
                <w:szCs w:val="20"/>
              </w:rPr>
              <w:t>sztucznej inteligencji i 2) czy przedmiotowa analiza danych będzie dokonywana zgodnie z</w:t>
            </w:r>
            <w:r w:rsidR="00587109" w:rsidRPr="001941B0">
              <w:rPr>
                <w:rFonts w:cs="Calibri"/>
                <w:bCs/>
                <w:sz w:val="20"/>
                <w:szCs w:val="20"/>
              </w:rPr>
              <w:t xml:space="preserve"> </w:t>
            </w:r>
            <w:r w:rsidRPr="001941B0">
              <w:rPr>
                <w:rFonts w:cs="Calibri"/>
                <w:bCs/>
                <w:sz w:val="20"/>
                <w:szCs w:val="20"/>
              </w:rPr>
              <w:t>wymogami przewidzianymi w art. 22 rozporządzenia 2016/679.</w:t>
            </w:r>
            <w:r w:rsidR="00587109" w:rsidRPr="001941B0">
              <w:rPr>
                <w:rFonts w:cs="Calibri"/>
                <w:bCs/>
                <w:sz w:val="20"/>
                <w:szCs w:val="20"/>
              </w:rPr>
              <w:t xml:space="preserve"> </w:t>
            </w:r>
            <w:r w:rsidRPr="001941B0">
              <w:rPr>
                <w:rFonts w:cs="Calibri"/>
                <w:bCs/>
                <w:sz w:val="20"/>
                <w:szCs w:val="20"/>
              </w:rPr>
              <w:t>Nowe funkcjonalności Elektronicznej Platformy Gromadzenia, Analizy i</w:t>
            </w:r>
            <w:r w:rsidR="00587109" w:rsidRPr="001941B0">
              <w:rPr>
                <w:rFonts w:cs="Calibri"/>
                <w:bCs/>
                <w:sz w:val="20"/>
                <w:szCs w:val="20"/>
              </w:rPr>
              <w:t xml:space="preserve"> </w:t>
            </w:r>
            <w:r w:rsidRPr="001941B0">
              <w:rPr>
                <w:rFonts w:cs="Calibri"/>
                <w:bCs/>
                <w:sz w:val="20"/>
                <w:szCs w:val="20"/>
              </w:rPr>
              <w:t>Udostępnienia Zasobów Cyfrowych, które będą opierać się na wykorzystaniu danych</w:t>
            </w:r>
          </w:p>
          <w:p w14:paraId="67F68AB1" w14:textId="15BB8989" w:rsidR="001C2D71" w:rsidRPr="001941B0" w:rsidRDefault="001C2D71" w:rsidP="001C2D71">
            <w:pPr>
              <w:autoSpaceDE w:val="0"/>
              <w:autoSpaceDN w:val="0"/>
              <w:adjustRightInd w:val="0"/>
              <w:spacing w:after="0" w:line="240" w:lineRule="auto"/>
              <w:rPr>
                <w:rFonts w:cs="Calibri"/>
                <w:bCs/>
                <w:sz w:val="20"/>
                <w:szCs w:val="20"/>
              </w:rPr>
            </w:pPr>
            <w:r w:rsidRPr="001941B0">
              <w:rPr>
                <w:rFonts w:cs="Calibri"/>
                <w:bCs/>
                <w:sz w:val="20"/>
                <w:szCs w:val="20"/>
              </w:rPr>
              <w:t>pozyskanych za pośrednictwem nowych technologii (aplikacji badających dobrostan</w:t>
            </w:r>
            <w:r w:rsidR="00587109" w:rsidRPr="001941B0">
              <w:rPr>
                <w:rFonts w:cs="Calibri"/>
                <w:bCs/>
                <w:sz w:val="20"/>
                <w:szCs w:val="20"/>
              </w:rPr>
              <w:t xml:space="preserve"> </w:t>
            </w:r>
            <w:r w:rsidRPr="001941B0">
              <w:rPr>
                <w:rFonts w:cs="Calibri"/>
                <w:bCs/>
                <w:sz w:val="20"/>
                <w:szCs w:val="20"/>
              </w:rPr>
              <w:t>pacjentów używanych w ramach systemu Domowej Opieki Medycznej), wymagają</w:t>
            </w:r>
            <w:r w:rsidR="00B05499" w:rsidRPr="001941B0">
              <w:rPr>
                <w:rFonts w:cs="Calibri"/>
                <w:bCs/>
                <w:sz w:val="20"/>
                <w:szCs w:val="20"/>
              </w:rPr>
              <w:t xml:space="preserve"> </w:t>
            </w:r>
            <w:r w:rsidRPr="001941B0">
              <w:rPr>
                <w:rFonts w:cs="Calibri"/>
                <w:bCs/>
                <w:sz w:val="20"/>
                <w:szCs w:val="20"/>
              </w:rPr>
              <w:t>przeprowadzenia pogłębionej analizy w ramach oceny skutków dla ochrony danych</w:t>
            </w:r>
          </w:p>
          <w:p w14:paraId="48882E9E" w14:textId="4746E2CE" w:rsidR="001C2D71" w:rsidRPr="001941B0" w:rsidRDefault="001C2D71" w:rsidP="001C2D71">
            <w:pPr>
              <w:autoSpaceDE w:val="0"/>
              <w:autoSpaceDN w:val="0"/>
              <w:adjustRightInd w:val="0"/>
              <w:spacing w:after="0" w:line="240" w:lineRule="auto"/>
              <w:rPr>
                <w:rFonts w:cs="Calibri"/>
                <w:bCs/>
                <w:sz w:val="20"/>
                <w:szCs w:val="20"/>
              </w:rPr>
            </w:pPr>
            <w:r w:rsidRPr="001941B0">
              <w:rPr>
                <w:rFonts w:cs="Calibri"/>
                <w:bCs/>
                <w:sz w:val="20"/>
                <w:szCs w:val="20"/>
              </w:rPr>
              <w:t>oraz oceny skutków systemów AI wysokiego ryzyka dla praw podstawowych.</w:t>
            </w:r>
            <w:r w:rsidR="00C3424F" w:rsidRPr="001941B0">
              <w:rPr>
                <w:rFonts w:cs="Calibri"/>
                <w:bCs/>
                <w:sz w:val="20"/>
                <w:szCs w:val="20"/>
              </w:rPr>
              <w:t xml:space="preserve"> </w:t>
            </w:r>
            <w:r w:rsidRPr="001941B0">
              <w:rPr>
                <w:rFonts w:cs="Calibri"/>
                <w:bCs/>
                <w:sz w:val="20"/>
                <w:szCs w:val="20"/>
              </w:rPr>
              <w:t>Stosowne przepisy prawa powinny jasno – przejrzyście i</w:t>
            </w:r>
            <w:r w:rsidR="00B05499" w:rsidRPr="001941B0">
              <w:rPr>
                <w:rFonts w:cs="Calibri"/>
                <w:bCs/>
                <w:sz w:val="20"/>
                <w:szCs w:val="20"/>
              </w:rPr>
              <w:t xml:space="preserve"> </w:t>
            </w:r>
            <w:r w:rsidRPr="001941B0">
              <w:rPr>
                <w:rFonts w:cs="Calibri"/>
                <w:bCs/>
                <w:sz w:val="20"/>
                <w:szCs w:val="20"/>
              </w:rPr>
              <w:t>wyczerpująco – określać: 1) że</w:t>
            </w:r>
            <w:r w:rsidR="00B05499" w:rsidRPr="001941B0">
              <w:rPr>
                <w:rFonts w:cs="Calibri"/>
                <w:bCs/>
                <w:sz w:val="20"/>
                <w:szCs w:val="20"/>
              </w:rPr>
              <w:t xml:space="preserve"> </w:t>
            </w:r>
            <w:r w:rsidRPr="001941B0">
              <w:rPr>
                <w:rFonts w:cs="Calibri"/>
                <w:bCs/>
                <w:sz w:val="20"/>
                <w:szCs w:val="20"/>
              </w:rPr>
              <w:t>podmioty danych podlegają profilowaniu jeśli do przetwarzania ich danych</w:t>
            </w:r>
          </w:p>
          <w:p w14:paraId="3F2CB3C9" w14:textId="2B6B1B75" w:rsidR="000B6AB5" w:rsidRPr="001941B0" w:rsidRDefault="001C2D71" w:rsidP="001C2D71">
            <w:pPr>
              <w:autoSpaceDE w:val="0"/>
              <w:autoSpaceDN w:val="0"/>
              <w:adjustRightInd w:val="0"/>
              <w:spacing w:after="0" w:line="240" w:lineRule="auto"/>
              <w:rPr>
                <w:rFonts w:cs="Calibri"/>
                <w:bCs/>
                <w:sz w:val="20"/>
                <w:szCs w:val="20"/>
              </w:rPr>
            </w:pPr>
            <w:r w:rsidRPr="001941B0">
              <w:rPr>
                <w:rFonts w:cs="Calibri"/>
                <w:bCs/>
                <w:sz w:val="20"/>
                <w:szCs w:val="20"/>
              </w:rPr>
              <w:t>wykorzystywane są systemy AI wysokiego ryzyka oraz 2) środki ochrony praw, wolności i</w:t>
            </w:r>
            <w:r w:rsidR="00127490" w:rsidRPr="001941B0">
              <w:rPr>
                <w:rFonts w:cs="Calibri"/>
                <w:bCs/>
                <w:sz w:val="20"/>
                <w:szCs w:val="20"/>
              </w:rPr>
              <w:t xml:space="preserve"> </w:t>
            </w:r>
            <w:r w:rsidRPr="001941B0">
              <w:rPr>
                <w:rFonts w:cs="Calibri"/>
                <w:bCs/>
                <w:sz w:val="20"/>
                <w:szCs w:val="20"/>
              </w:rPr>
              <w:t>prawnie uzasadnionych interesów osoby, której dane dotyczą.</w:t>
            </w:r>
          </w:p>
        </w:tc>
        <w:tc>
          <w:tcPr>
            <w:tcW w:w="2855" w:type="dxa"/>
            <w:shd w:val="clear" w:color="auto" w:fill="FFFFFF" w:themeFill="background1"/>
          </w:tcPr>
          <w:p w14:paraId="289822B2" w14:textId="617FCDFA" w:rsidR="000B6AB5" w:rsidRPr="001941B0" w:rsidRDefault="00D855FA" w:rsidP="006E0CB2">
            <w:pPr>
              <w:autoSpaceDE w:val="0"/>
              <w:autoSpaceDN w:val="0"/>
              <w:adjustRightInd w:val="0"/>
              <w:spacing w:after="0" w:line="240" w:lineRule="auto"/>
              <w:rPr>
                <w:b/>
                <w:bCs/>
                <w:sz w:val="20"/>
                <w:szCs w:val="20"/>
              </w:rPr>
            </w:pPr>
            <w:r w:rsidRPr="001941B0">
              <w:rPr>
                <w:b/>
                <w:bCs/>
                <w:sz w:val="20"/>
                <w:szCs w:val="20"/>
              </w:rPr>
              <w:lastRenderedPageBreak/>
              <w:t>Wyjaśnienie</w:t>
            </w:r>
          </w:p>
          <w:p w14:paraId="56770651" w14:textId="09EB60F5" w:rsidR="00D855FA" w:rsidRPr="001941B0" w:rsidRDefault="0067124E" w:rsidP="006E0CB2">
            <w:pPr>
              <w:autoSpaceDE w:val="0"/>
              <w:autoSpaceDN w:val="0"/>
              <w:adjustRightInd w:val="0"/>
              <w:spacing w:after="0" w:line="240" w:lineRule="auto"/>
              <w:rPr>
                <w:sz w:val="20"/>
                <w:szCs w:val="20"/>
              </w:rPr>
            </w:pPr>
            <w:r w:rsidRPr="001941B0">
              <w:rPr>
                <w:sz w:val="20"/>
                <w:szCs w:val="20"/>
              </w:rPr>
              <w:t>Przywołane propozycje</w:t>
            </w:r>
            <w:r w:rsidR="00B56427" w:rsidRPr="001941B0">
              <w:rPr>
                <w:sz w:val="20"/>
                <w:szCs w:val="20"/>
              </w:rPr>
              <w:t xml:space="preserve"> n</w:t>
            </w:r>
            <w:r w:rsidR="00D855FA" w:rsidRPr="001941B0">
              <w:rPr>
                <w:sz w:val="20"/>
                <w:szCs w:val="20"/>
              </w:rPr>
              <w:t xml:space="preserve">ie </w:t>
            </w:r>
            <w:r w:rsidRPr="001941B0">
              <w:rPr>
                <w:sz w:val="20"/>
                <w:szCs w:val="20"/>
              </w:rPr>
              <w:t xml:space="preserve">będą </w:t>
            </w:r>
            <w:r w:rsidR="00D855FA" w:rsidRPr="001941B0">
              <w:rPr>
                <w:sz w:val="20"/>
                <w:szCs w:val="20"/>
              </w:rPr>
              <w:t>generowa</w:t>
            </w:r>
            <w:r w:rsidR="00B56427" w:rsidRPr="001941B0">
              <w:rPr>
                <w:sz w:val="20"/>
                <w:szCs w:val="20"/>
              </w:rPr>
              <w:t>ł</w:t>
            </w:r>
            <w:r w:rsidRPr="001941B0">
              <w:rPr>
                <w:sz w:val="20"/>
                <w:szCs w:val="20"/>
              </w:rPr>
              <w:t>y</w:t>
            </w:r>
            <w:r w:rsidR="00D855FA" w:rsidRPr="001941B0">
              <w:rPr>
                <w:sz w:val="20"/>
                <w:szCs w:val="20"/>
              </w:rPr>
              <w:t xml:space="preserve"> analiz za pomoc AI</w:t>
            </w:r>
            <w:r w:rsidR="00FA6522" w:rsidRPr="001941B0">
              <w:rPr>
                <w:sz w:val="20"/>
                <w:szCs w:val="20"/>
              </w:rPr>
              <w:t>. Kwestie te podlegały analizie</w:t>
            </w:r>
            <w:r w:rsidR="006A66C2" w:rsidRPr="001941B0">
              <w:rPr>
                <w:sz w:val="20"/>
                <w:szCs w:val="20"/>
              </w:rPr>
              <w:t xml:space="preserve"> w ramach </w:t>
            </w:r>
            <w:r w:rsidR="00A252F8" w:rsidRPr="001941B0">
              <w:rPr>
                <w:sz w:val="20"/>
                <w:szCs w:val="20"/>
              </w:rPr>
              <w:t>DPIA</w:t>
            </w:r>
            <w:r w:rsidR="00FA6522" w:rsidRPr="001941B0">
              <w:rPr>
                <w:sz w:val="20"/>
                <w:szCs w:val="20"/>
              </w:rPr>
              <w:t>.</w:t>
            </w:r>
          </w:p>
          <w:p w14:paraId="2E794BA2" w14:textId="25F35A5E" w:rsidR="0067124E" w:rsidRPr="001941B0" w:rsidRDefault="00690ED2" w:rsidP="0067124E">
            <w:pPr>
              <w:autoSpaceDE w:val="0"/>
              <w:autoSpaceDN w:val="0"/>
              <w:adjustRightInd w:val="0"/>
              <w:spacing w:after="0" w:line="240" w:lineRule="auto"/>
              <w:rPr>
                <w:sz w:val="20"/>
                <w:szCs w:val="20"/>
              </w:rPr>
            </w:pPr>
            <w:r w:rsidRPr="001941B0">
              <w:rPr>
                <w:sz w:val="20"/>
                <w:szCs w:val="20"/>
              </w:rPr>
              <w:t>Natomiast</w:t>
            </w:r>
            <w:r w:rsidR="0067124E" w:rsidRPr="001941B0">
              <w:rPr>
                <w:sz w:val="20"/>
                <w:szCs w:val="20"/>
              </w:rPr>
              <w:t>w przypadku analizy wyników badań laboratoryjnych, będzie odbywało się to za zgodą świadczeniobiorcy, a nie na podstawie przywołanych przepisów.</w:t>
            </w:r>
          </w:p>
          <w:p w14:paraId="46F9790C" w14:textId="77777777" w:rsidR="004A7B16" w:rsidRPr="001941B0" w:rsidRDefault="004A7B16" w:rsidP="006E0CB2">
            <w:pPr>
              <w:autoSpaceDE w:val="0"/>
              <w:autoSpaceDN w:val="0"/>
              <w:adjustRightInd w:val="0"/>
              <w:spacing w:after="0" w:line="240" w:lineRule="auto"/>
              <w:rPr>
                <w:sz w:val="20"/>
                <w:szCs w:val="20"/>
              </w:rPr>
            </w:pPr>
          </w:p>
          <w:p w14:paraId="30FA0E05" w14:textId="184E5EC4" w:rsidR="00B5439B" w:rsidRPr="001941B0" w:rsidRDefault="00B5439B" w:rsidP="00243429">
            <w:pPr>
              <w:autoSpaceDE w:val="0"/>
              <w:autoSpaceDN w:val="0"/>
              <w:adjustRightInd w:val="0"/>
              <w:spacing w:after="0" w:line="240" w:lineRule="auto"/>
              <w:rPr>
                <w:sz w:val="20"/>
                <w:szCs w:val="20"/>
              </w:rPr>
            </w:pPr>
          </w:p>
        </w:tc>
      </w:tr>
      <w:tr w:rsidR="00FC7212" w:rsidRPr="001941B0" w14:paraId="491C7A7C" w14:textId="77777777" w:rsidTr="7139DBB9">
        <w:tc>
          <w:tcPr>
            <w:tcW w:w="1125" w:type="dxa"/>
            <w:shd w:val="clear" w:color="auto" w:fill="FFFFFF" w:themeFill="background1"/>
          </w:tcPr>
          <w:p w14:paraId="2FDE26B3" w14:textId="77777777" w:rsidR="00793CDE" w:rsidRPr="001941B0" w:rsidRDefault="00793CDE"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87F7DA3" w14:textId="0E91C3C9" w:rsidR="00793CDE" w:rsidRPr="001941B0" w:rsidRDefault="00793CDE"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68A95FC9" w14:textId="752D3753" w:rsidR="00793CDE" w:rsidRPr="001941B0" w:rsidRDefault="005C3A59" w:rsidP="006E0CB2">
            <w:pPr>
              <w:autoSpaceDE w:val="0"/>
              <w:autoSpaceDN w:val="0"/>
              <w:adjustRightInd w:val="0"/>
              <w:spacing w:after="0" w:line="240" w:lineRule="auto"/>
              <w:rPr>
                <w:rFonts w:cs="Calibri"/>
                <w:sz w:val="20"/>
                <w:szCs w:val="20"/>
              </w:rPr>
            </w:pPr>
            <w:r>
              <w:rPr>
                <w:rFonts w:cs="Calibri"/>
                <w:sz w:val="20"/>
                <w:szCs w:val="20"/>
              </w:rPr>
              <w:t>A</w:t>
            </w:r>
            <w:r w:rsidR="00793CDE" w:rsidRPr="001941B0">
              <w:rPr>
                <w:rFonts w:cs="Calibri"/>
                <w:sz w:val="20"/>
                <w:szCs w:val="20"/>
              </w:rPr>
              <w:t xml:space="preserve">rt. 5 pkt 6 lit. </w:t>
            </w:r>
            <w:r w:rsidR="00951132" w:rsidRPr="001941B0">
              <w:rPr>
                <w:rFonts w:cs="Calibri"/>
                <w:sz w:val="20"/>
                <w:szCs w:val="20"/>
              </w:rPr>
              <w:t>C</w:t>
            </w:r>
          </w:p>
          <w:p w14:paraId="449ABD5F" w14:textId="77777777" w:rsidR="00951132" w:rsidRPr="001941B0" w:rsidRDefault="00951132" w:rsidP="006E0CB2">
            <w:pPr>
              <w:autoSpaceDE w:val="0"/>
              <w:autoSpaceDN w:val="0"/>
              <w:adjustRightInd w:val="0"/>
              <w:spacing w:after="0" w:line="240" w:lineRule="auto"/>
              <w:rPr>
                <w:rFonts w:cs="Calibri"/>
                <w:sz w:val="20"/>
                <w:szCs w:val="20"/>
              </w:rPr>
            </w:pPr>
          </w:p>
          <w:p w14:paraId="4E03C389" w14:textId="3DEABAD1" w:rsidR="00793CDE" w:rsidRPr="001941B0" w:rsidRDefault="00793CDE"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5D9BDA07" w14:textId="666348EC" w:rsidR="00E10BD4" w:rsidRPr="001941B0" w:rsidRDefault="00D3683C" w:rsidP="00E10BD4">
            <w:pPr>
              <w:autoSpaceDE w:val="0"/>
              <w:autoSpaceDN w:val="0"/>
              <w:adjustRightInd w:val="0"/>
              <w:spacing w:after="0" w:line="240" w:lineRule="auto"/>
              <w:rPr>
                <w:rFonts w:cs="Calibri"/>
                <w:bCs/>
                <w:sz w:val="20"/>
                <w:szCs w:val="20"/>
              </w:rPr>
            </w:pPr>
            <w:r w:rsidRPr="001941B0">
              <w:rPr>
                <w:rFonts w:cs="Calibri"/>
                <w:bCs/>
                <w:sz w:val="20"/>
                <w:szCs w:val="20"/>
              </w:rPr>
              <w:t>6.</w:t>
            </w:r>
            <w:r w:rsidR="00E10BD4" w:rsidRPr="001941B0">
              <w:rPr>
                <w:rFonts w:cs="Calibri"/>
                <w:bCs/>
                <w:sz w:val="20"/>
                <w:szCs w:val="20"/>
              </w:rPr>
              <w:t>Zgodnie z art. 10 ust. 3 ustawy o systemie informacji w ochronie zdrowia: „Dane, o których mowa w ust. 2 pkt 1, są pozyskiwane do SIM z Centralnego wykazu Usługobiorców, o którym mowa w art. 15, z systemów teleinformatycznych usługodawców,</w:t>
            </w:r>
            <w:r w:rsidR="00856090" w:rsidRPr="001941B0">
              <w:rPr>
                <w:rFonts w:cs="Calibri"/>
                <w:bCs/>
                <w:sz w:val="20"/>
                <w:szCs w:val="20"/>
              </w:rPr>
              <w:t xml:space="preserve"> </w:t>
            </w:r>
            <w:r w:rsidR="00E10BD4" w:rsidRPr="001941B0">
              <w:rPr>
                <w:rFonts w:cs="Calibri"/>
                <w:bCs/>
                <w:sz w:val="20"/>
                <w:szCs w:val="20"/>
              </w:rPr>
              <w:t>z wyrobów medycznych, aplikacji wspierających dobrostan oraz od usługobiorców.”</w:t>
            </w:r>
            <w:r w:rsidR="00856090" w:rsidRPr="001941B0">
              <w:rPr>
                <w:rFonts w:cs="Calibri"/>
                <w:bCs/>
                <w:sz w:val="20"/>
                <w:szCs w:val="20"/>
              </w:rPr>
              <w:t xml:space="preserve"> </w:t>
            </w:r>
            <w:r w:rsidR="00E10BD4" w:rsidRPr="001941B0">
              <w:rPr>
                <w:rFonts w:cs="Calibri"/>
                <w:bCs/>
                <w:sz w:val="20"/>
                <w:szCs w:val="20"/>
              </w:rPr>
              <w:t>Aplikacje wspierające dobrostan będą</w:t>
            </w:r>
            <w:r w:rsidR="00856090" w:rsidRPr="001941B0">
              <w:rPr>
                <w:rFonts w:cs="Calibri"/>
                <w:bCs/>
                <w:sz w:val="20"/>
                <w:szCs w:val="20"/>
              </w:rPr>
              <w:t xml:space="preserve"> </w:t>
            </w:r>
            <w:r w:rsidR="00E10BD4" w:rsidRPr="001941B0">
              <w:rPr>
                <w:rFonts w:cs="Calibri"/>
                <w:bCs/>
                <w:sz w:val="20"/>
                <w:szCs w:val="20"/>
              </w:rPr>
              <w:t>narzędziami informatycznymi zaliczanymi do</w:t>
            </w:r>
            <w:r w:rsidR="00856090" w:rsidRPr="001941B0">
              <w:rPr>
                <w:rFonts w:cs="Calibri"/>
                <w:bCs/>
                <w:sz w:val="20"/>
                <w:szCs w:val="20"/>
              </w:rPr>
              <w:t xml:space="preserve"> </w:t>
            </w:r>
            <w:r w:rsidR="00E10BD4" w:rsidRPr="001941B0">
              <w:rPr>
                <w:rFonts w:cs="Calibri"/>
                <w:bCs/>
                <w:sz w:val="20"/>
                <w:szCs w:val="20"/>
              </w:rPr>
              <w:t>obszaru nowych technologii, które będą instalowane na urządzeniach mobilnych (np.</w:t>
            </w:r>
            <w:r w:rsidR="00856090" w:rsidRPr="001941B0">
              <w:rPr>
                <w:rFonts w:cs="Calibri"/>
                <w:bCs/>
                <w:sz w:val="20"/>
                <w:szCs w:val="20"/>
              </w:rPr>
              <w:t xml:space="preserve"> </w:t>
            </w:r>
            <w:r w:rsidR="00E10BD4" w:rsidRPr="001941B0">
              <w:rPr>
                <w:rFonts w:cs="Calibri"/>
                <w:bCs/>
                <w:sz w:val="20"/>
                <w:szCs w:val="20"/>
              </w:rPr>
              <w:t>smartfony) i pobierać będą dane o stanie zdrowia pacjentów z wykorzystaniem Internetu</w:t>
            </w:r>
            <w:r w:rsidR="00856090" w:rsidRPr="001941B0">
              <w:rPr>
                <w:rFonts w:cs="Calibri"/>
                <w:bCs/>
                <w:sz w:val="20"/>
                <w:szCs w:val="20"/>
              </w:rPr>
              <w:t xml:space="preserve"> </w:t>
            </w:r>
            <w:r w:rsidR="00E10BD4" w:rsidRPr="001941B0">
              <w:rPr>
                <w:rFonts w:cs="Calibri"/>
                <w:bCs/>
                <w:sz w:val="20"/>
                <w:szCs w:val="20"/>
              </w:rPr>
              <w:t>Rzeczy, np. opasek wyposażonych w sensory (pulsometr, akcelerometr, GPS,</w:t>
            </w:r>
            <w:r w:rsidR="00856090" w:rsidRPr="001941B0">
              <w:rPr>
                <w:rFonts w:cs="Calibri"/>
                <w:bCs/>
                <w:sz w:val="20"/>
                <w:szCs w:val="20"/>
              </w:rPr>
              <w:t xml:space="preserve"> </w:t>
            </w:r>
            <w:r w:rsidR="00E10BD4" w:rsidRPr="001941B0">
              <w:rPr>
                <w:rFonts w:cs="Calibri"/>
                <w:bCs/>
                <w:sz w:val="20"/>
                <w:szCs w:val="20"/>
              </w:rPr>
              <w:t>pulsoksymetr), które monitorują aktywność fizyczną, sen, tętno czy poziom tlenu we krwi.</w:t>
            </w:r>
            <w:r w:rsidR="00856090" w:rsidRPr="001941B0">
              <w:rPr>
                <w:rFonts w:cs="Calibri"/>
                <w:bCs/>
                <w:sz w:val="20"/>
                <w:szCs w:val="20"/>
              </w:rPr>
              <w:t xml:space="preserve"> </w:t>
            </w:r>
            <w:r w:rsidR="00E10BD4" w:rsidRPr="001941B0">
              <w:rPr>
                <w:rFonts w:cs="Calibri"/>
                <w:bCs/>
                <w:sz w:val="20"/>
                <w:szCs w:val="20"/>
              </w:rPr>
              <w:t>Projektowana ustawa ani żadne inne przepisy nie zawierają regulacji</w:t>
            </w:r>
            <w:r w:rsidR="00856090" w:rsidRPr="001941B0">
              <w:rPr>
                <w:rFonts w:cs="Calibri"/>
                <w:bCs/>
                <w:sz w:val="20"/>
                <w:szCs w:val="20"/>
              </w:rPr>
              <w:t xml:space="preserve"> </w:t>
            </w:r>
            <w:r w:rsidR="00E10BD4" w:rsidRPr="001941B0">
              <w:rPr>
                <w:rFonts w:cs="Calibri"/>
                <w:bCs/>
                <w:sz w:val="20"/>
                <w:szCs w:val="20"/>
              </w:rPr>
              <w:t>określających standardy jakie mają spełniać aplikacje wspierające dobrostan, ani</w:t>
            </w:r>
            <w:r w:rsidR="00856090" w:rsidRPr="001941B0">
              <w:rPr>
                <w:rFonts w:cs="Calibri"/>
                <w:bCs/>
                <w:sz w:val="20"/>
                <w:szCs w:val="20"/>
              </w:rPr>
              <w:t xml:space="preserve"> </w:t>
            </w:r>
            <w:r w:rsidR="00E10BD4" w:rsidRPr="001941B0">
              <w:rPr>
                <w:rFonts w:cs="Calibri"/>
                <w:bCs/>
                <w:sz w:val="20"/>
                <w:szCs w:val="20"/>
              </w:rPr>
              <w:t>też kryteriów kwalifikacji danych przez nie dostarczanych pod kątem ich</w:t>
            </w:r>
            <w:r w:rsidR="00856090" w:rsidRPr="001941B0">
              <w:rPr>
                <w:rFonts w:cs="Calibri"/>
                <w:bCs/>
                <w:sz w:val="20"/>
                <w:szCs w:val="20"/>
              </w:rPr>
              <w:t xml:space="preserve"> </w:t>
            </w:r>
            <w:r w:rsidR="00E10BD4" w:rsidRPr="001941B0">
              <w:rPr>
                <w:rFonts w:cs="Calibri"/>
                <w:bCs/>
                <w:sz w:val="20"/>
                <w:szCs w:val="20"/>
              </w:rPr>
              <w:t>prawdziwości i wiarygodności. Powstaje też pytanie – szczególnie istotne w sytuacji</w:t>
            </w:r>
          </w:p>
          <w:p w14:paraId="6C53E585" w14:textId="3B344686" w:rsidR="00E10BD4" w:rsidRPr="001941B0" w:rsidRDefault="00E10BD4" w:rsidP="00E10BD4">
            <w:pPr>
              <w:autoSpaceDE w:val="0"/>
              <w:autoSpaceDN w:val="0"/>
              <w:adjustRightInd w:val="0"/>
              <w:spacing w:after="0" w:line="240" w:lineRule="auto"/>
              <w:rPr>
                <w:rFonts w:cs="Calibri"/>
                <w:bCs/>
                <w:sz w:val="20"/>
                <w:szCs w:val="20"/>
              </w:rPr>
            </w:pPr>
            <w:r w:rsidRPr="001941B0">
              <w:rPr>
                <w:rFonts w:cs="Calibri"/>
                <w:bCs/>
                <w:sz w:val="20"/>
                <w:szCs w:val="20"/>
              </w:rPr>
              <w:lastRenderedPageBreak/>
              <w:t>przetwarzania danych ważnych dla stanu zdrowia i leczenia pacjentów – o zakres</w:t>
            </w:r>
            <w:r w:rsidR="00D6176B" w:rsidRPr="001941B0">
              <w:rPr>
                <w:rFonts w:cs="Calibri"/>
                <w:bCs/>
                <w:sz w:val="20"/>
                <w:szCs w:val="20"/>
              </w:rPr>
              <w:t xml:space="preserve"> </w:t>
            </w:r>
            <w:r w:rsidRPr="001941B0">
              <w:rPr>
                <w:rFonts w:cs="Calibri"/>
                <w:bCs/>
                <w:sz w:val="20"/>
                <w:szCs w:val="20"/>
              </w:rPr>
              <w:t>odpowiedzialności za ewentualne nieprawidłowości w przekazywaniu danych przez</w:t>
            </w:r>
            <w:r w:rsidR="00D6176B" w:rsidRPr="001941B0">
              <w:rPr>
                <w:rFonts w:cs="Calibri"/>
                <w:bCs/>
                <w:sz w:val="20"/>
                <w:szCs w:val="20"/>
              </w:rPr>
              <w:t xml:space="preserve"> </w:t>
            </w:r>
            <w:r w:rsidRPr="001941B0">
              <w:rPr>
                <w:rFonts w:cs="Calibri"/>
                <w:bCs/>
                <w:sz w:val="20"/>
                <w:szCs w:val="20"/>
              </w:rPr>
              <w:t>aplikacje do SIM, czy będzie ona leżała po stronie ich twórców czy też</w:t>
            </w:r>
            <w:r w:rsidR="00D6176B" w:rsidRPr="001941B0">
              <w:rPr>
                <w:rFonts w:cs="Calibri"/>
                <w:bCs/>
                <w:sz w:val="20"/>
                <w:szCs w:val="20"/>
              </w:rPr>
              <w:t xml:space="preserve"> </w:t>
            </w:r>
            <w:r w:rsidRPr="001941B0">
              <w:rPr>
                <w:rFonts w:cs="Calibri"/>
                <w:bCs/>
                <w:sz w:val="20"/>
                <w:szCs w:val="20"/>
              </w:rPr>
              <w:t>usługodawców</w:t>
            </w:r>
            <w:r w:rsidR="00D6176B" w:rsidRPr="001941B0">
              <w:rPr>
                <w:rFonts w:cs="Calibri"/>
                <w:bCs/>
                <w:sz w:val="20"/>
                <w:szCs w:val="20"/>
              </w:rPr>
              <w:t xml:space="preserve"> </w:t>
            </w:r>
            <w:r w:rsidRPr="001941B0">
              <w:rPr>
                <w:rFonts w:cs="Calibri"/>
                <w:bCs/>
                <w:sz w:val="20"/>
                <w:szCs w:val="20"/>
              </w:rPr>
              <w:t>wykorzystujących je do udzielania świadczeń pacjentom. Nie wiadomo również w jaki</w:t>
            </w:r>
            <w:r w:rsidR="00D6176B" w:rsidRPr="001941B0">
              <w:rPr>
                <w:rFonts w:cs="Calibri"/>
                <w:bCs/>
                <w:sz w:val="20"/>
                <w:szCs w:val="20"/>
              </w:rPr>
              <w:t xml:space="preserve"> </w:t>
            </w:r>
            <w:r w:rsidRPr="001941B0">
              <w:rPr>
                <w:rFonts w:cs="Calibri"/>
                <w:bCs/>
                <w:sz w:val="20"/>
                <w:szCs w:val="20"/>
              </w:rPr>
              <w:t>sposób będzie odbywał się transfer danych bezpośrednio do SIM i z użyciem jakich</w:t>
            </w:r>
          </w:p>
          <w:p w14:paraId="676527BF" w14:textId="1666E757" w:rsidR="00E10BD4" w:rsidRPr="001941B0" w:rsidRDefault="00E10BD4" w:rsidP="00E10BD4">
            <w:pPr>
              <w:autoSpaceDE w:val="0"/>
              <w:autoSpaceDN w:val="0"/>
              <w:adjustRightInd w:val="0"/>
              <w:spacing w:after="0" w:line="240" w:lineRule="auto"/>
              <w:rPr>
                <w:rFonts w:cs="Calibri"/>
                <w:bCs/>
                <w:sz w:val="20"/>
                <w:szCs w:val="20"/>
              </w:rPr>
            </w:pPr>
            <w:r w:rsidRPr="001941B0">
              <w:rPr>
                <w:rFonts w:cs="Calibri"/>
                <w:bCs/>
                <w:sz w:val="20"/>
                <w:szCs w:val="20"/>
              </w:rPr>
              <w:t>zabezpieczeń. Prawodawca nie podjął choćby próby uregulowania tej problematyki.</w:t>
            </w:r>
            <w:r w:rsidR="00D6176B" w:rsidRPr="001941B0">
              <w:rPr>
                <w:rFonts w:cs="Calibri"/>
                <w:bCs/>
                <w:sz w:val="20"/>
                <w:szCs w:val="20"/>
              </w:rPr>
              <w:t xml:space="preserve"> </w:t>
            </w:r>
            <w:r w:rsidRPr="001941B0">
              <w:rPr>
                <w:rFonts w:cs="Calibri"/>
                <w:bCs/>
                <w:sz w:val="20"/>
                <w:szCs w:val="20"/>
              </w:rPr>
              <w:t>Materia ta powinna zostać natomiast</w:t>
            </w:r>
            <w:r w:rsidR="00D6176B" w:rsidRPr="001941B0">
              <w:rPr>
                <w:rFonts w:cs="Calibri"/>
                <w:bCs/>
                <w:sz w:val="20"/>
                <w:szCs w:val="20"/>
              </w:rPr>
              <w:t xml:space="preserve"> </w:t>
            </w:r>
            <w:r w:rsidRPr="001941B0">
              <w:rPr>
                <w:rFonts w:cs="Calibri"/>
                <w:bCs/>
                <w:sz w:val="20"/>
                <w:szCs w:val="20"/>
              </w:rPr>
              <w:t>uregulowana w projektowanej ustawie jako</w:t>
            </w:r>
            <w:r w:rsidR="00D6176B" w:rsidRPr="001941B0">
              <w:rPr>
                <w:rFonts w:cs="Calibri"/>
                <w:bCs/>
                <w:sz w:val="20"/>
                <w:szCs w:val="20"/>
              </w:rPr>
              <w:t xml:space="preserve"> </w:t>
            </w:r>
            <w:r w:rsidRPr="001941B0">
              <w:rPr>
                <w:rFonts w:cs="Calibri"/>
                <w:bCs/>
                <w:sz w:val="20"/>
                <w:szCs w:val="20"/>
              </w:rPr>
              <w:t>zasadniczy element systemu Domowej Opieki Medycznej oraz nowe źródło danych</w:t>
            </w:r>
          </w:p>
          <w:p w14:paraId="18CB7A4B" w14:textId="1A84E431" w:rsidR="00E10BD4" w:rsidRPr="001941B0" w:rsidRDefault="00E10BD4" w:rsidP="00E10BD4">
            <w:pPr>
              <w:autoSpaceDE w:val="0"/>
              <w:autoSpaceDN w:val="0"/>
              <w:adjustRightInd w:val="0"/>
              <w:spacing w:after="0" w:line="240" w:lineRule="auto"/>
              <w:rPr>
                <w:rFonts w:cs="Calibri"/>
                <w:bCs/>
                <w:sz w:val="20"/>
                <w:szCs w:val="20"/>
              </w:rPr>
            </w:pPr>
            <w:r w:rsidRPr="001941B0">
              <w:rPr>
                <w:rFonts w:cs="Calibri"/>
                <w:bCs/>
                <w:sz w:val="20"/>
                <w:szCs w:val="20"/>
              </w:rPr>
              <w:t>Systemu Informacji Medycznej. Wyjaśnienie i określenie tych kwestii jest konieczne dla</w:t>
            </w:r>
            <w:r w:rsidR="00D6176B" w:rsidRPr="001941B0">
              <w:rPr>
                <w:rFonts w:cs="Calibri"/>
                <w:bCs/>
                <w:sz w:val="20"/>
                <w:szCs w:val="20"/>
              </w:rPr>
              <w:t xml:space="preserve"> </w:t>
            </w:r>
            <w:r w:rsidRPr="001941B0">
              <w:rPr>
                <w:rFonts w:cs="Calibri"/>
                <w:bCs/>
                <w:sz w:val="20"/>
                <w:szCs w:val="20"/>
              </w:rPr>
              <w:t>zachowania zasady zgodności z prawem, rzetelności i przejrzystości, ograniczenia celu,</w:t>
            </w:r>
          </w:p>
          <w:p w14:paraId="01713936" w14:textId="511F505C" w:rsidR="00793CDE" w:rsidRPr="001941B0" w:rsidRDefault="00E10BD4" w:rsidP="00E10BD4">
            <w:pPr>
              <w:autoSpaceDE w:val="0"/>
              <w:autoSpaceDN w:val="0"/>
              <w:adjustRightInd w:val="0"/>
              <w:spacing w:after="0" w:line="240" w:lineRule="auto"/>
              <w:rPr>
                <w:rFonts w:cs="Calibri"/>
                <w:bCs/>
                <w:sz w:val="20"/>
                <w:szCs w:val="20"/>
              </w:rPr>
            </w:pPr>
            <w:r w:rsidRPr="001941B0">
              <w:rPr>
                <w:rFonts w:cs="Calibri"/>
                <w:bCs/>
                <w:sz w:val="20"/>
                <w:szCs w:val="20"/>
              </w:rPr>
              <w:t>minimalizacji danych, poufności i integralności oraz rozliczalności.</w:t>
            </w:r>
          </w:p>
        </w:tc>
        <w:tc>
          <w:tcPr>
            <w:tcW w:w="2855" w:type="dxa"/>
            <w:shd w:val="clear" w:color="auto" w:fill="FFFFFF" w:themeFill="background1"/>
          </w:tcPr>
          <w:p w14:paraId="057712DC" w14:textId="74F5556F" w:rsidR="00235EC6" w:rsidRPr="001941B0" w:rsidRDefault="00235EC6" w:rsidP="006E0CB2">
            <w:pPr>
              <w:autoSpaceDE w:val="0"/>
              <w:autoSpaceDN w:val="0"/>
              <w:adjustRightInd w:val="0"/>
              <w:spacing w:after="0" w:line="240" w:lineRule="auto"/>
              <w:rPr>
                <w:b/>
                <w:bCs/>
                <w:sz w:val="20"/>
                <w:szCs w:val="20"/>
              </w:rPr>
            </w:pPr>
            <w:r w:rsidRPr="001941B0">
              <w:rPr>
                <w:b/>
                <w:bCs/>
                <w:sz w:val="20"/>
                <w:szCs w:val="20"/>
              </w:rPr>
              <w:lastRenderedPageBreak/>
              <w:t>Uwaga częściowo uwzględnion</w:t>
            </w:r>
            <w:r w:rsidR="00F75202" w:rsidRPr="001941B0">
              <w:rPr>
                <w:b/>
                <w:bCs/>
                <w:sz w:val="20"/>
                <w:szCs w:val="20"/>
              </w:rPr>
              <w:t>a</w:t>
            </w:r>
          </w:p>
          <w:p w14:paraId="6FAC894E" w14:textId="552B5549" w:rsidR="007D5256" w:rsidRPr="001941B0" w:rsidRDefault="009A7F59" w:rsidP="006E0CB2">
            <w:pPr>
              <w:autoSpaceDE w:val="0"/>
              <w:autoSpaceDN w:val="0"/>
              <w:adjustRightInd w:val="0"/>
              <w:spacing w:after="0" w:line="240" w:lineRule="auto"/>
              <w:rPr>
                <w:sz w:val="20"/>
                <w:szCs w:val="20"/>
              </w:rPr>
            </w:pPr>
            <w:r w:rsidRPr="001941B0">
              <w:rPr>
                <w:sz w:val="20"/>
                <w:szCs w:val="20"/>
              </w:rPr>
              <w:t xml:space="preserve">W projektowanej ustawie dodaje się ust. 4 art. 11c, </w:t>
            </w:r>
            <w:r w:rsidR="00C06162" w:rsidRPr="001941B0">
              <w:rPr>
                <w:sz w:val="20"/>
                <w:szCs w:val="20"/>
              </w:rPr>
              <w:t xml:space="preserve">stanowiący o tym, że podmioty, o których mowa w ust. 3 pkt 3 i 4, mogą przekazywać dane </w:t>
            </w:r>
            <w:r w:rsidR="001A4848" w:rsidRPr="001941B0">
              <w:rPr>
                <w:sz w:val="20"/>
                <w:szCs w:val="20"/>
              </w:rPr>
              <w:t xml:space="preserve">do systemu Domowej Opieki Medycznej </w:t>
            </w:r>
            <w:r w:rsidR="00C06162" w:rsidRPr="001941B0">
              <w:rPr>
                <w:sz w:val="20"/>
                <w:szCs w:val="20"/>
              </w:rPr>
              <w:t>wyłącznie po spełnieniu warunków</w:t>
            </w:r>
            <w:r w:rsidR="001A4848" w:rsidRPr="001941B0">
              <w:rPr>
                <w:sz w:val="20"/>
                <w:szCs w:val="20"/>
              </w:rPr>
              <w:t xml:space="preserve"> określonych w nowym brzmieniu art. 8b ust 1 ustawy SIOZ</w:t>
            </w:r>
            <w:r w:rsidR="00DA249D" w:rsidRPr="001941B0">
              <w:rPr>
                <w:sz w:val="20"/>
                <w:szCs w:val="20"/>
              </w:rPr>
              <w:t xml:space="preserve">. Na podstawie  art. 8b ust 1 ustawy SIOZ będą określane </w:t>
            </w:r>
            <w:r w:rsidR="00630155" w:rsidRPr="001941B0">
              <w:rPr>
                <w:sz w:val="20"/>
                <w:szCs w:val="20"/>
              </w:rPr>
              <w:t xml:space="preserve">wymagania techniczne i funkcjonalne. </w:t>
            </w:r>
            <w:r w:rsidR="00DA249D" w:rsidRPr="001941B0">
              <w:rPr>
                <w:sz w:val="20"/>
                <w:szCs w:val="20"/>
              </w:rPr>
              <w:t xml:space="preserve"> </w:t>
            </w:r>
            <w:r w:rsidR="00632610" w:rsidRPr="001941B0">
              <w:rPr>
                <w:sz w:val="20"/>
                <w:szCs w:val="20"/>
              </w:rPr>
              <w:t xml:space="preserve">Dane z DOM wprowadzane przez pacjenta </w:t>
            </w:r>
            <w:r w:rsidR="00CE671A" w:rsidRPr="001941B0">
              <w:rPr>
                <w:sz w:val="20"/>
                <w:szCs w:val="20"/>
              </w:rPr>
              <w:t xml:space="preserve">nie </w:t>
            </w:r>
            <w:r w:rsidR="003475CF" w:rsidRPr="001941B0">
              <w:rPr>
                <w:sz w:val="20"/>
                <w:szCs w:val="20"/>
              </w:rPr>
              <w:t xml:space="preserve">stanowią </w:t>
            </w:r>
            <w:r w:rsidR="00CE671A" w:rsidRPr="001941B0">
              <w:rPr>
                <w:sz w:val="20"/>
                <w:szCs w:val="20"/>
              </w:rPr>
              <w:t>EDM</w:t>
            </w:r>
            <w:r w:rsidR="0067124E" w:rsidRPr="001941B0">
              <w:rPr>
                <w:sz w:val="20"/>
                <w:szCs w:val="20"/>
              </w:rPr>
              <w:t xml:space="preserve"> (za wyjątkiem danych </w:t>
            </w:r>
            <w:r w:rsidR="0067124E" w:rsidRPr="001941B0">
              <w:rPr>
                <w:sz w:val="20"/>
                <w:szCs w:val="20"/>
              </w:rPr>
              <w:lastRenderedPageBreak/>
              <w:t>przy karcie eKOK, ale na innych zasadach)</w:t>
            </w:r>
            <w:r w:rsidR="00A93AD3" w:rsidRPr="001941B0">
              <w:rPr>
                <w:sz w:val="20"/>
                <w:szCs w:val="20"/>
              </w:rPr>
              <w:t>. Aplikacja</w:t>
            </w:r>
            <w:r w:rsidR="00926D28" w:rsidRPr="001941B0">
              <w:rPr>
                <w:sz w:val="20"/>
                <w:szCs w:val="20"/>
              </w:rPr>
              <w:t xml:space="preserve"> IKP będzie</w:t>
            </w:r>
            <w:r w:rsidR="00A93AD3" w:rsidRPr="001941B0">
              <w:rPr>
                <w:sz w:val="20"/>
                <w:szCs w:val="20"/>
              </w:rPr>
              <w:t xml:space="preserve"> </w:t>
            </w:r>
            <w:r w:rsidR="00926D28" w:rsidRPr="001941B0">
              <w:rPr>
                <w:sz w:val="20"/>
                <w:szCs w:val="20"/>
              </w:rPr>
              <w:t>dawała</w:t>
            </w:r>
            <w:r w:rsidR="00D023FD" w:rsidRPr="001941B0">
              <w:rPr>
                <w:sz w:val="20"/>
                <w:szCs w:val="20"/>
              </w:rPr>
              <w:t xml:space="preserve"> pacjentowi </w:t>
            </w:r>
            <w:r w:rsidR="00A93AD3" w:rsidRPr="001941B0">
              <w:rPr>
                <w:sz w:val="20"/>
                <w:szCs w:val="20"/>
              </w:rPr>
              <w:t xml:space="preserve">możliwość </w:t>
            </w:r>
            <w:r w:rsidR="00555989" w:rsidRPr="001941B0">
              <w:rPr>
                <w:sz w:val="20"/>
                <w:szCs w:val="20"/>
              </w:rPr>
              <w:t xml:space="preserve">wprowadzania danych z różnych urządzeń </w:t>
            </w:r>
            <w:r w:rsidR="001A0A2D" w:rsidRPr="001941B0">
              <w:rPr>
                <w:sz w:val="20"/>
                <w:szCs w:val="20"/>
              </w:rPr>
              <w:t xml:space="preserve">- </w:t>
            </w:r>
            <w:r w:rsidR="000E464F" w:rsidRPr="001941B0">
              <w:rPr>
                <w:sz w:val="20"/>
                <w:szCs w:val="20"/>
              </w:rPr>
              <w:t xml:space="preserve">to jest dla pacjenta </w:t>
            </w:r>
            <w:r w:rsidR="008B4EFE" w:rsidRPr="001941B0">
              <w:rPr>
                <w:sz w:val="20"/>
                <w:szCs w:val="20"/>
              </w:rPr>
              <w:t>i pacjent ma nad tym kontrolę</w:t>
            </w:r>
            <w:r w:rsidR="001A0A2D" w:rsidRPr="001941B0">
              <w:rPr>
                <w:sz w:val="20"/>
                <w:szCs w:val="20"/>
              </w:rPr>
              <w:t xml:space="preserve"> oraz</w:t>
            </w:r>
            <w:r w:rsidR="00E17894" w:rsidRPr="001941B0">
              <w:rPr>
                <w:sz w:val="20"/>
                <w:szCs w:val="20"/>
              </w:rPr>
              <w:t xml:space="preserve"> jest za to odpowiedzialny</w:t>
            </w:r>
            <w:r w:rsidR="000F1A60" w:rsidRPr="001941B0">
              <w:rPr>
                <w:sz w:val="20"/>
                <w:szCs w:val="20"/>
              </w:rPr>
              <w:t>.</w:t>
            </w:r>
            <w:r w:rsidR="00032250" w:rsidRPr="001941B0">
              <w:rPr>
                <w:sz w:val="20"/>
                <w:szCs w:val="20"/>
              </w:rPr>
              <w:t xml:space="preserve"> Dane z </w:t>
            </w:r>
            <w:r w:rsidR="00BF7E3E" w:rsidRPr="001941B0">
              <w:rPr>
                <w:sz w:val="20"/>
                <w:szCs w:val="20"/>
              </w:rPr>
              <w:t xml:space="preserve">aplikacji wspierających </w:t>
            </w:r>
            <w:r w:rsidR="00190D68" w:rsidRPr="001941B0">
              <w:rPr>
                <w:sz w:val="20"/>
                <w:szCs w:val="20"/>
              </w:rPr>
              <w:t>dobrostan</w:t>
            </w:r>
            <w:r w:rsidR="00032250" w:rsidRPr="001941B0">
              <w:rPr>
                <w:sz w:val="20"/>
                <w:szCs w:val="20"/>
              </w:rPr>
              <w:t xml:space="preserve"> będą odróżniały się od danych z </w:t>
            </w:r>
            <w:r w:rsidR="00690ED2" w:rsidRPr="001941B0">
              <w:rPr>
                <w:sz w:val="20"/>
                <w:szCs w:val="20"/>
              </w:rPr>
              <w:t xml:space="preserve">wyrobów  </w:t>
            </w:r>
            <w:r w:rsidR="00032250" w:rsidRPr="001941B0">
              <w:rPr>
                <w:sz w:val="20"/>
                <w:szCs w:val="20"/>
              </w:rPr>
              <w:t>medycznych.</w:t>
            </w:r>
          </w:p>
        </w:tc>
      </w:tr>
      <w:tr w:rsidR="00FC7212" w:rsidRPr="001941B0" w14:paraId="19FBA037" w14:textId="77777777" w:rsidTr="7139DBB9">
        <w:tc>
          <w:tcPr>
            <w:tcW w:w="1125" w:type="dxa"/>
            <w:shd w:val="clear" w:color="auto" w:fill="FFFFFF" w:themeFill="background1"/>
          </w:tcPr>
          <w:p w14:paraId="1384B8B8" w14:textId="77777777" w:rsidR="00EE3006" w:rsidRPr="001941B0" w:rsidRDefault="00EE3006"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5AF23B6" w14:textId="705F990F" w:rsidR="00EE3006" w:rsidRPr="001941B0" w:rsidRDefault="00EE3006"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446F54D6" w14:textId="2638869E" w:rsidR="00EE3006" w:rsidRPr="001941B0" w:rsidRDefault="005C3A59" w:rsidP="006E0CB2">
            <w:pPr>
              <w:autoSpaceDE w:val="0"/>
              <w:autoSpaceDN w:val="0"/>
              <w:adjustRightInd w:val="0"/>
              <w:spacing w:after="0" w:line="240" w:lineRule="auto"/>
              <w:rPr>
                <w:rFonts w:cs="Calibri"/>
                <w:sz w:val="20"/>
                <w:szCs w:val="20"/>
              </w:rPr>
            </w:pPr>
            <w:r>
              <w:rPr>
                <w:rFonts w:cs="Calibri"/>
                <w:sz w:val="20"/>
                <w:szCs w:val="20"/>
              </w:rPr>
              <w:t>A</w:t>
            </w:r>
            <w:r w:rsidR="00EE3006" w:rsidRPr="001941B0">
              <w:rPr>
                <w:rFonts w:cs="Calibri"/>
                <w:sz w:val="20"/>
                <w:szCs w:val="20"/>
              </w:rPr>
              <w:t>rt. 5 pkt</w:t>
            </w:r>
            <w:r w:rsidR="007144AD" w:rsidRPr="001941B0">
              <w:rPr>
                <w:rFonts w:cs="Calibri"/>
                <w:sz w:val="20"/>
                <w:szCs w:val="20"/>
              </w:rPr>
              <w:t xml:space="preserve"> 7</w:t>
            </w:r>
            <w:r w:rsidR="00EE3006" w:rsidRPr="001941B0">
              <w:rPr>
                <w:rFonts w:cs="Calibri"/>
                <w:sz w:val="20"/>
                <w:szCs w:val="20"/>
              </w:rPr>
              <w:t xml:space="preserve"> lit. </w:t>
            </w:r>
            <w:r w:rsidR="008673A6" w:rsidRPr="001941B0">
              <w:rPr>
                <w:rFonts w:cs="Calibri"/>
                <w:sz w:val="20"/>
                <w:szCs w:val="20"/>
              </w:rPr>
              <w:t>A</w:t>
            </w:r>
          </w:p>
          <w:p w14:paraId="01BBC517" w14:textId="77777777" w:rsidR="008673A6" w:rsidRPr="001941B0" w:rsidRDefault="008673A6" w:rsidP="006E0CB2">
            <w:pPr>
              <w:autoSpaceDE w:val="0"/>
              <w:autoSpaceDN w:val="0"/>
              <w:adjustRightInd w:val="0"/>
              <w:spacing w:after="0" w:line="240" w:lineRule="auto"/>
              <w:rPr>
                <w:rFonts w:cs="Calibri"/>
                <w:sz w:val="20"/>
                <w:szCs w:val="20"/>
              </w:rPr>
            </w:pPr>
          </w:p>
          <w:p w14:paraId="0AF9F827" w14:textId="0F8AE071" w:rsidR="00EE3006" w:rsidRPr="001941B0" w:rsidRDefault="00EE3006"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EDD0FC9" w14:textId="463163AF" w:rsidR="00161553" w:rsidRPr="001941B0" w:rsidRDefault="00D3683C" w:rsidP="00D3683C">
            <w:pPr>
              <w:autoSpaceDE w:val="0"/>
              <w:autoSpaceDN w:val="0"/>
              <w:adjustRightInd w:val="0"/>
              <w:spacing w:after="0" w:line="240" w:lineRule="auto"/>
              <w:rPr>
                <w:rFonts w:cs="Calibri"/>
                <w:bCs/>
                <w:sz w:val="20"/>
                <w:szCs w:val="20"/>
              </w:rPr>
            </w:pPr>
            <w:r w:rsidRPr="001941B0">
              <w:rPr>
                <w:rFonts w:cs="Calibri"/>
                <w:bCs/>
                <w:sz w:val="20"/>
                <w:szCs w:val="20"/>
              </w:rPr>
              <w:t>7.</w:t>
            </w:r>
            <w:r w:rsidR="00161553" w:rsidRPr="001941B0">
              <w:rPr>
                <w:rFonts w:cs="Calibri"/>
                <w:bCs/>
                <w:sz w:val="20"/>
                <w:szCs w:val="20"/>
              </w:rPr>
              <w:t>Zgodnie z art. 11 ust. 1a ustawy o systemie informacji w ochronie zdrowia „Elektroniczna dokumentacja medyczna, o której mowa w art. 2 pkt 6 lit. b i c, jest</w:t>
            </w:r>
            <w:r w:rsidR="00364C92" w:rsidRPr="001941B0">
              <w:rPr>
                <w:rFonts w:cs="Calibri"/>
                <w:bCs/>
                <w:sz w:val="20"/>
                <w:szCs w:val="20"/>
              </w:rPr>
              <w:t xml:space="preserve"> </w:t>
            </w:r>
            <w:r w:rsidR="00161553" w:rsidRPr="001941B0">
              <w:rPr>
                <w:rFonts w:cs="Calibri"/>
                <w:bCs/>
                <w:sz w:val="20"/>
                <w:szCs w:val="20"/>
              </w:rPr>
              <w:t>prowadzona przez usługodawców w formatach zamieszczonych w Biuletynie Informacji</w:t>
            </w:r>
            <w:r w:rsidR="00364C92" w:rsidRPr="001941B0">
              <w:rPr>
                <w:rFonts w:cs="Calibri"/>
                <w:bCs/>
                <w:sz w:val="20"/>
                <w:szCs w:val="20"/>
              </w:rPr>
              <w:t xml:space="preserve"> </w:t>
            </w:r>
            <w:r w:rsidR="00161553" w:rsidRPr="001941B0">
              <w:rPr>
                <w:rFonts w:cs="Calibri"/>
                <w:bCs/>
                <w:sz w:val="20"/>
                <w:szCs w:val="20"/>
              </w:rPr>
              <w:t>Publicznej ministra właściwego do spraw zdrowia.”.</w:t>
            </w:r>
            <w:r w:rsidR="0058388F" w:rsidRPr="001941B0">
              <w:rPr>
                <w:rFonts w:cs="Calibri"/>
                <w:bCs/>
                <w:sz w:val="20"/>
                <w:szCs w:val="20"/>
              </w:rPr>
              <w:t xml:space="preserve"> </w:t>
            </w:r>
            <w:r w:rsidR="00161553" w:rsidRPr="001941B0">
              <w:rPr>
                <w:rFonts w:cs="Calibri"/>
                <w:bCs/>
                <w:sz w:val="20"/>
                <w:szCs w:val="20"/>
              </w:rPr>
              <w:t>Z uwagi na fakt, że w dokumentacji medycznej przetwarzane są szczególne</w:t>
            </w:r>
            <w:r w:rsidR="0058388F" w:rsidRPr="001941B0">
              <w:rPr>
                <w:rFonts w:cs="Calibri"/>
                <w:bCs/>
                <w:sz w:val="20"/>
                <w:szCs w:val="20"/>
              </w:rPr>
              <w:t xml:space="preserve"> </w:t>
            </w:r>
            <w:r w:rsidR="00161553" w:rsidRPr="001941B0">
              <w:rPr>
                <w:rFonts w:cs="Calibri"/>
                <w:bCs/>
                <w:sz w:val="20"/>
                <w:szCs w:val="20"/>
              </w:rPr>
              <w:t>kategorie danych osobowych w rozumieniu art. 9 ust. 1 rozporządzenia 2016/679 forma</w:t>
            </w:r>
            <w:r w:rsidR="0058388F" w:rsidRPr="001941B0">
              <w:rPr>
                <w:rFonts w:cs="Calibri"/>
                <w:bCs/>
                <w:sz w:val="20"/>
                <w:szCs w:val="20"/>
              </w:rPr>
              <w:t xml:space="preserve">t </w:t>
            </w:r>
            <w:r w:rsidR="00161553" w:rsidRPr="001941B0">
              <w:rPr>
                <w:rFonts w:cs="Calibri"/>
                <w:bCs/>
                <w:sz w:val="20"/>
                <w:szCs w:val="20"/>
              </w:rPr>
              <w:t>tej dokumentacji powinien zostać ustalony aktem prawa powszechnie</w:t>
            </w:r>
            <w:r w:rsidR="0058388F" w:rsidRPr="001941B0">
              <w:rPr>
                <w:rFonts w:cs="Calibri"/>
                <w:bCs/>
                <w:sz w:val="20"/>
                <w:szCs w:val="20"/>
              </w:rPr>
              <w:t xml:space="preserve"> </w:t>
            </w:r>
            <w:r w:rsidR="00161553" w:rsidRPr="001941B0">
              <w:rPr>
                <w:rFonts w:cs="Calibri"/>
                <w:bCs/>
                <w:sz w:val="20"/>
                <w:szCs w:val="20"/>
              </w:rPr>
              <w:t>obowiązującego, np. aktem wykonawczym do ustawy o systemie informacji w ochronie</w:t>
            </w:r>
          </w:p>
          <w:p w14:paraId="32B1AD63" w14:textId="71B35ED1" w:rsidR="00EE3006" w:rsidRPr="001941B0" w:rsidRDefault="00161553" w:rsidP="00161553">
            <w:pPr>
              <w:autoSpaceDE w:val="0"/>
              <w:autoSpaceDN w:val="0"/>
              <w:adjustRightInd w:val="0"/>
              <w:spacing w:after="0" w:line="240" w:lineRule="auto"/>
              <w:rPr>
                <w:rFonts w:cs="Calibri"/>
                <w:bCs/>
                <w:sz w:val="20"/>
                <w:szCs w:val="20"/>
              </w:rPr>
            </w:pPr>
            <w:r w:rsidRPr="001941B0">
              <w:rPr>
                <w:rFonts w:cs="Calibri"/>
                <w:bCs/>
                <w:sz w:val="20"/>
                <w:szCs w:val="20"/>
              </w:rPr>
              <w:t>zdrowia, zgodnie z zasadą zgodności z prawem, rzetelności i przejrzystości.</w:t>
            </w:r>
          </w:p>
        </w:tc>
        <w:tc>
          <w:tcPr>
            <w:tcW w:w="2855" w:type="dxa"/>
            <w:shd w:val="clear" w:color="auto" w:fill="FFFFFF" w:themeFill="background1"/>
          </w:tcPr>
          <w:p w14:paraId="353B4630" w14:textId="77777777" w:rsidR="00EE3006" w:rsidRPr="001941B0" w:rsidRDefault="0072540A" w:rsidP="006E0CB2">
            <w:pPr>
              <w:autoSpaceDE w:val="0"/>
              <w:autoSpaceDN w:val="0"/>
              <w:adjustRightInd w:val="0"/>
              <w:spacing w:after="0" w:line="240" w:lineRule="auto"/>
              <w:rPr>
                <w:b/>
                <w:bCs/>
                <w:sz w:val="20"/>
                <w:szCs w:val="20"/>
              </w:rPr>
            </w:pPr>
            <w:r w:rsidRPr="001941B0">
              <w:rPr>
                <w:b/>
                <w:bCs/>
                <w:sz w:val="20"/>
                <w:szCs w:val="20"/>
              </w:rPr>
              <w:t>Wyjaśnienie</w:t>
            </w:r>
          </w:p>
          <w:p w14:paraId="655571CD" w14:textId="67D128DC" w:rsidR="0072540A" w:rsidRPr="001941B0" w:rsidRDefault="007C1E51" w:rsidP="0086519A">
            <w:pPr>
              <w:autoSpaceDE w:val="0"/>
              <w:autoSpaceDN w:val="0"/>
              <w:adjustRightInd w:val="0"/>
              <w:spacing w:after="0" w:line="240" w:lineRule="auto"/>
              <w:rPr>
                <w:sz w:val="20"/>
                <w:szCs w:val="20"/>
              </w:rPr>
            </w:pPr>
            <w:r w:rsidRPr="001941B0">
              <w:rPr>
                <w:rFonts w:cs="Calibri"/>
                <w:sz w:val="20"/>
                <w:szCs w:val="20"/>
              </w:rPr>
              <w:t>F</w:t>
            </w:r>
            <w:r w:rsidR="00367A89" w:rsidRPr="001941B0">
              <w:rPr>
                <w:rFonts w:cs="Calibri"/>
                <w:sz w:val="20"/>
                <w:szCs w:val="20"/>
              </w:rPr>
              <w:t>ormat</w:t>
            </w:r>
            <w:r w:rsidRPr="001941B0">
              <w:rPr>
                <w:rFonts w:cs="Calibri"/>
                <w:sz w:val="20"/>
                <w:szCs w:val="20"/>
              </w:rPr>
              <w:t xml:space="preserve">y zamieszczone w BIP </w:t>
            </w:r>
            <w:r w:rsidR="00367A89" w:rsidRPr="001941B0">
              <w:rPr>
                <w:rFonts w:cs="Calibri"/>
                <w:sz w:val="20"/>
                <w:szCs w:val="20"/>
              </w:rPr>
              <w:t>określają jedynie techniczn</w:t>
            </w:r>
            <w:r w:rsidRPr="001941B0">
              <w:rPr>
                <w:rFonts w:cs="Calibri"/>
                <w:sz w:val="20"/>
                <w:szCs w:val="20"/>
              </w:rPr>
              <w:t>e aspekty</w:t>
            </w:r>
            <w:r w:rsidR="00367A89" w:rsidRPr="001941B0">
              <w:rPr>
                <w:rFonts w:cs="Calibri"/>
                <w:sz w:val="20"/>
                <w:szCs w:val="20"/>
              </w:rPr>
              <w:t xml:space="preserve"> implement</w:t>
            </w:r>
            <w:r w:rsidRPr="001941B0">
              <w:rPr>
                <w:rFonts w:cs="Calibri"/>
                <w:sz w:val="20"/>
                <w:szCs w:val="20"/>
              </w:rPr>
              <w:t>acji</w:t>
            </w:r>
            <w:r w:rsidR="00367A89" w:rsidRPr="001941B0">
              <w:rPr>
                <w:rFonts w:cs="Calibri"/>
                <w:sz w:val="20"/>
                <w:szCs w:val="20"/>
              </w:rPr>
              <w:t xml:space="preserve"> </w:t>
            </w:r>
            <w:r w:rsidR="00E7634C" w:rsidRPr="001941B0">
              <w:rPr>
                <w:rFonts w:cs="Calibri"/>
                <w:sz w:val="20"/>
                <w:szCs w:val="20"/>
              </w:rPr>
              <w:t>i integracji z</w:t>
            </w:r>
            <w:r w:rsidR="00367A89" w:rsidRPr="001941B0">
              <w:rPr>
                <w:rFonts w:cs="Calibri"/>
                <w:sz w:val="20"/>
                <w:szCs w:val="20"/>
              </w:rPr>
              <w:t xml:space="preserve"> system</w:t>
            </w:r>
            <w:r w:rsidR="00E7634C" w:rsidRPr="001941B0">
              <w:rPr>
                <w:rFonts w:cs="Calibri"/>
                <w:sz w:val="20"/>
                <w:szCs w:val="20"/>
              </w:rPr>
              <w:t>em e-zdrowia</w:t>
            </w:r>
            <w:r w:rsidR="00367A89" w:rsidRPr="001941B0">
              <w:rPr>
                <w:rFonts w:cs="Calibri"/>
                <w:sz w:val="20"/>
                <w:szCs w:val="20"/>
              </w:rPr>
              <w:t xml:space="preserve">, </w:t>
            </w:r>
            <w:r w:rsidR="0086519A" w:rsidRPr="001941B0">
              <w:rPr>
                <w:rFonts w:cs="Calibri"/>
                <w:sz w:val="20"/>
                <w:szCs w:val="20"/>
              </w:rPr>
              <w:t xml:space="preserve">a </w:t>
            </w:r>
            <w:r w:rsidR="00367A89" w:rsidRPr="001941B0">
              <w:rPr>
                <w:rFonts w:cs="Calibri"/>
                <w:sz w:val="20"/>
                <w:szCs w:val="20"/>
              </w:rPr>
              <w:t>nie przetwarzają danych osobowych</w:t>
            </w:r>
            <w:r w:rsidR="006F0340" w:rsidRPr="001941B0">
              <w:rPr>
                <w:rFonts w:cs="Calibri"/>
                <w:sz w:val="20"/>
                <w:szCs w:val="20"/>
              </w:rPr>
              <w:t xml:space="preserve"> – są </w:t>
            </w:r>
            <w:r w:rsidR="00367A89" w:rsidRPr="001941B0">
              <w:rPr>
                <w:rFonts w:cs="Calibri"/>
                <w:sz w:val="20"/>
                <w:szCs w:val="20"/>
              </w:rPr>
              <w:t>to szablon</w:t>
            </w:r>
            <w:r w:rsidR="006F0340" w:rsidRPr="001941B0">
              <w:rPr>
                <w:rFonts w:cs="Calibri"/>
                <w:sz w:val="20"/>
                <w:szCs w:val="20"/>
              </w:rPr>
              <w:t>y</w:t>
            </w:r>
            <w:r w:rsidR="00367A89" w:rsidRPr="001941B0">
              <w:rPr>
                <w:rFonts w:cs="Calibri"/>
                <w:sz w:val="20"/>
                <w:szCs w:val="20"/>
              </w:rPr>
              <w:t>.</w:t>
            </w:r>
          </w:p>
        </w:tc>
      </w:tr>
      <w:tr w:rsidR="00FC7212" w:rsidRPr="001941B0" w14:paraId="4B87B9F3" w14:textId="77777777" w:rsidTr="7139DBB9">
        <w:tc>
          <w:tcPr>
            <w:tcW w:w="1125" w:type="dxa"/>
            <w:shd w:val="clear" w:color="auto" w:fill="FFFFFF" w:themeFill="background1"/>
          </w:tcPr>
          <w:p w14:paraId="50413547" w14:textId="77777777" w:rsidR="00782BF1" w:rsidRPr="001941B0" w:rsidRDefault="00782BF1"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0A5C526" w14:textId="4D92669D" w:rsidR="00782BF1" w:rsidRPr="001941B0" w:rsidRDefault="00782BF1"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400D336A" w14:textId="6517970C" w:rsidR="00782BF1" w:rsidRPr="001941B0" w:rsidRDefault="005C3A59" w:rsidP="006E0CB2">
            <w:pPr>
              <w:autoSpaceDE w:val="0"/>
              <w:autoSpaceDN w:val="0"/>
              <w:adjustRightInd w:val="0"/>
              <w:spacing w:after="0" w:line="240" w:lineRule="auto"/>
              <w:rPr>
                <w:rFonts w:cs="Calibri"/>
                <w:b/>
                <w:bCs/>
                <w:sz w:val="20"/>
                <w:szCs w:val="20"/>
              </w:rPr>
            </w:pPr>
            <w:r>
              <w:rPr>
                <w:rFonts w:cs="Calibri"/>
                <w:sz w:val="20"/>
                <w:szCs w:val="20"/>
              </w:rPr>
              <w:t>A</w:t>
            </w:r>
            <w:r w:rsidR="00782BF1" w:rsidRPr="001941B0">
              <w:rPr>
                <w:rFonts w:cs="Calibri"/>
                <w:sz w:val="20"/>
                <w:szCs w:val="20"/>
              </w:rPr>
              <w:t xml:space="preserve">rt. 5 pkt </w:t>
            </w:r>
            <w:r w:rsidR="003C0407" w:rsidRPr="001941B0">
              <w:rPr>
                <w:rFonts w:cs="Calibri"/>
                <w:sz w:val="20"/>
                <w:szCs w:val="20"/>
              </w:rPr>
              <w:t>9</w:t>
            </w:r>
            <w:r w:rsidR="00782BF1" w:rsidRPr="001941B0">
              <w:rPr>
                <w:rFonts w:cs="Calibri"/>
                <w:sz w:val="20"/>
                <w:szCs w:val="20"/>
              </w:rPr>
              <w:t xml:space="preserve"> </w:t>
            </w:r>
          </w:p>
          <w:p w14:paraId="58135F45" w14:textId="77777777" w:rsidR="00DF1355" w:rsidRPr="001941B0" w:rsidRDefault="00DF1355" w:rsidP="006E0CB2">
            <w:pPr>
              <w:autoSpaceDE w:val="0"/>
              <w:autoSpaceDN w:val="0"/>
              <w:adjustRightInd w:val="0"/>
              <w:spacing w:after="0" w:line="240" w:lineRule="auto"/>
              <w:rPr>
                <w:rFonts w:cs="Calibri"/>
                <w:b/>
                <w:bCs/>
                <w:sz w:val="20"/>
                <w:szCs w:val="20"/>
              </w:rPr>
            </w:pPr>
          </w:p>
          <w:p w14:paraId="22893346" w14:textId="09DB902D" w:rsidR="00782BF1" w:rsidRPr="001941B0" w:rsidRDefault="00782BF1"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5F8BAAE7" w14:textId="6E3D8B7A" w:rsidR="005976E8" w:rsidRPr="001941B0" w:rsidRDefault="00573B1B" w:rsidP="005976E8">
            <w:pPr>
              <w:autoSpaceDE w:val="0"/>
              <w:autoSpaceDN w:val="0"/>
              <w:adjustRightInd w:val="0"/>
              <w:spacing w:after="0" w:line="240" w:lineRule="auto"/>
              <w:rPr>
                <w:rFonts w:cs="Calibri"/>
                <w:bCs/>
                <w:sz w:val="20"/>
                <w:szCs w:val="20"/>
              </w:rPr>
            </w:pPr>
            <w:r w:rsidRPr="001941B0">
              <w:rPr>
                <w:rFonts w:cs="Calibri"/>
                <w:bCs/>
                <w:sz w:val="20"/>
                <w:szCs w:val="20"/>
              </w:rPr>
              <w:t>8.</w:t>
            </w:r>
            <w:r w:rsidR="005976E8" w:rsidRPr="001941B0">
              <w:rPr>
                <w:rFonts w:cs="Calibri"/>
                <w:bCs/>
                <w:sz w:val="20"/>
                <w:szCs w:val="20"/>
              </w:rPr>
              <w:t xml:space="preserve">Zgodnie z </w:t>
            </w:r>
            <w:r w:rsidR="005976E8" w:rsidRPr="001941B0">
              <w:rPr>
                <w:rFonts w:cs="Calibri"/>
                <w:b/>
                <w:bCs/>
                <w:sz w:val="20"/>
                <w:szCs w:val="20"/>
              </w:rPr>
              <w:t xml:space="preserve">art. 11c ust. 1 </w:t>
            </w:r>
            <w:r w:rsidR="005976E8" w:rsidRPr="001941B0">
              <w:rPr>
                <w:rFonts w:cs="Calibri"/>
                <w:bCs/>
                <w:sz w:val="20"/>
                <w:szCs w:val="20"/>
              </w:rPr>
              <w:t xml:space="preserve">ustawy o systemie informacji w ochronie zdrowia zostanie utworzony </w:t>
            </w:r>
            <w:r w:rsidR="005976E8" w:rsidRPr="001941B0">
              <w:rPr>
                <w:rFonts w:cs="Calibri"/>
                <w:b/>
                <w:bCs/>
                <w:sz w:val="20"/>
                <w:szCs w:val="20"/>
              </w:rPr>
              <w:t>system Domowej Opieki Medycznej</w:t>
            </w:r>
            <w:r w:rsidR="005976E8" w:rsidRPr="001941B0">
              <w:rPr>
                <w:rFonts w:cs="Calibri"/>
                <w:bCs/>
                <w:sz w:val="20"/>
                <w:szCs w:val="20"/>
              </w:rPr>
              <w:t>. Projektowany przepis stanowi: „System Domowej Opieki Medycznej stanowi moduł SIM umożliwiający gromadzenie za</w:t>
            </w:r>
            <w:r w:rsidRPr="001941B0">
              <w:rPr>
                <w:rFonts w:cs="Calibri"/>
                <w:bCs/>
                <w:sz w:val="20"/>
                <w:szCs w:val="20"/>
              </w:rPr>
              <w:t xml:space="preserve"> </w:t>
            </w:r>
            <w:r w:rsidR="005976E8" w:rsidRPr="001941B0">
              <w:rPr>
                <w:rFonts w:cs="Calibri"/>
                <w:bCs/>
                <w:sz w:val="20"/>
                <w:szCs w:val="20"/>
              </w:rPr>
              <w:t xml:space="preserve">pośrednictwem systemów </w:t>
            </w:r>
            <w:r w:rsidR="005976E8" w:rsidRPr="001941B0">
              <w:rPr>
                <w:rFonts w:cs="Calibri"/>
                <w:bCs/>
                <w:sz w:val="20"/>
                <w:szCs w:val="20"/>
              </w:rPr>
              <w:lastRenderedPageBreak/>
              <w:t>teleinformatycznych lub systemów łączności na zlecenie lekarza i za zgodą usługobiorcy, danych osobowych i jednostkowych danych medycznych pochodzących z wyrobów medycznych albo aplikacji wspierających dobrostan</w:t>
            </w:r>
          </w:p>
          <w:p w14:paraId="0241AADB" w14:textId="1AF739B3" w:rsidR="005976E8" w:rsidRPr="001941B0" w:rsidRDefault="005976E8" w:rsidP="005976E8">
            <w:pPr>
              <w:autoSpaceDE w:val="0"/>
              <w:autoSpaceDN w:val="0"/>
              <w:adjustRightInd w:val="0"/>
              <w:spacing w:after="0" w:line="240" w:lineRule="auto"/>
              <w:rPr>
                <w:rFonts w:cs="Calibri"/>
                <w:bCs/>
                <w:sz w:val="20"/>
                <w:szCs w:val="20"/>
              </w:rPr>
            </w:pPr>
            <w:r w:rsidRPr="001941B0">
              <w:rPr>
                <w:rFonts w:cs="Calibri"/>
                <w:bCs/>
                <w:sz w:val="20"/>
                <w:szCs w:val="20"/>
              </w:rPr>
              <w:t>stosowanych przez tego usługobiorcę oraz monitorowanie na podstawie tych danych stanu zdrowia usługobiorcy w celu zapewnienia mu adekwatnej do jego stanu zdrowia</w:t>
            </w:r>
          </w:p>
          <w:p w14:paraId="4A95C92F" w14:textId="146DB5C5" w:rsidR="005976E8" w:rsidRPr="001941B0" w:rsidRDefault="005976E8" w:rsidP="005976E8">
            <w:pPr>
              <w:autoSpaceDE w:val="0"/>
              <w:autoSpaceDN w:val="0"/>
              <w:adjustRightInd w:val="0"/>
              <w:spacing w:after="0" w:line="240" w:lineRule="auto"/>
              <w:rPr>
                <w:rFonts w:cs="Calibri"/>
                <w:bCs/>
                <w:sz w:val="20"/>
                <w:szCs w:val="20"/>
              </w:rPr>
            </w:pPr>
            <w:r w:rsidRPr="001941B0">
              <w:rPr>
                <w:rFonts w:cs="Calibri"/>
                <w:bCs/>
                <w:sz w:val="20"/>
                <w:szCs w:val="20"/>
              </w:rPr>
              <w:t>opieki zdrowotnej.”. Analogicznie jak w odniesieniu zmian wprowadzanych do Elektronicznej Platformy Gromadzenia, Analizy i Udostępnienia Zasobów Cyfrowych o Zdarzeniach Medycznych</w:t>
            </w:r>
          </w:p>
          <w:p w14:paraId="0480D0A3" w14:textId="237278A9" w:rsidR="00782BF1" w:rsidRPr="001941B0" w:rsidRDefault="005976E8" w:rsidP="005976E8">
            <w:pPr>
              <w:autoSpaceDE w:val="0"/>
              <w:autoSpaceDN w:val="0"/>
              <w:adjustRightInd w:val="0"/>
              <w:spacing w:after="0" w:line="240" w:lineRule="auto"/>
              <w:rPr>
                <w:rFonts w:cs="Calibri"/>
                <w:bCs/>
                <w:sz w:val="20"/>
                <w:szCs w:val="20"/>
              </w:rPr>
            </w:pPr>
            <w:r w:rsidRPr="001941B0">
              <w:rPr>
                <w:rFonts w:cs="Calibri"/>
                <w:bCs/>
                <w:sz w:val="20"/>
                <w:szCs w:val="20"/>
              </w:rPr>
              <w:t xml:space="preserve">wskazać trzeba, że użycie nowych technologii (aplikacji badających dobrostan pacjentów, które będą używane w ramach systemu Domowej Opieki Medycznej), używanych na podstawie decyzji lekarza o zautomatyzowanym przetwarzaniu danych osobowych, wymaga przeprowadzenia </w:t>
            </w:r>
            <w:r w:rsidRPr="001941B0">
              <w:rPr>
                <w:rFonts w:cs="Calibri"/>
                <w:b/>
                <w:bCs/>
                <w:sz w:val="20"/>
                <w:szCs w:val="20"/>
              </w:rPr>
              <w:t>pogłębionej analizy w ramach oceny skutków dla ochrony</w:t>
            </w:r>
            <w:r w:rsidRPr="001941B0">
              <w:rPr>
                <w:rFonts w:cs="Calibri"/>
                <w:bCs/>
                <w:sz w:val="20"/>
                <w:szCs w:val="20"/>
              </w:rPr>
              <w:t xml:space="preserve"> </w:t>
            </w:r>
            <w:r w:rsidRPr="001941B0">
              <w:rPr>
                <w:rFonts w:cs="Calibri"/>
                <w:b/>
                <w:bCs/>
                <w:sz w:val="20"/>
                <w:szCs w:val="20"/>
              </w:rPr>
              <w:t>danych oraz oceny skutków systemów AI wysokiego ryzyka dla praw</w:t>
            </w:r>
            <w:r w:rsidRPr="001941B0">
              <w:rPr>
                <w:rFonts w:cs="Calibri"/>
                <w:bCs/>
                <w:sz w:val="20"/>
                <w:szCs w:val="20"/>
              </w:rPr>
              <w:t xml:space="preserve"> </w:t>
            </w:r>
            <w:r w:rsidRPr="001941B0">
              <w:rPr>
                <w:rFonts w:cs="Calibri"/>
                <w:b/>
                <w:bCs/>
                <w:sz w:val="20"/>
                <w:szCs w:val="20"/>
              </w:rPr>
              <w:t>podstawowych, celem wyważenia ryzyk i przyjęcia mocą przepisów prawa środków ochrony praw, wolności i prawnie uzasadnionych interesów podmiotów danych.</w:t>
            </w:r>
          </w:p>
        </w:tc>
        <w:tc>
          <w:tcPr>
            <w:tcW w:w="2855" w:type="dxa"/>
            <w:shd w:val="clear" w:color="auto" w:fill="FFFFFF" w:themeFill="background1"/>
          </w:tcPr>
          <w:p w14:paraId="3527F584" w14:textId="56290C09" w:rsidR="00782BF1" w:rsidRPr="001941B0" w:rsidRDefault="00A77046" w:rsidP="006E0CB2">
            <w:pPr>
              <w:autoSpaceDE w:val="0"/>
              <w:autoSpaceDN w:val="0"/>
              <w:adjustRightInd w:val="0"/>
              <w:spacing w:after="0" w:line="240" w:lineRule="auto"/>
              <w:rPr>
                <w:b/>
                <w:bCs/>
                <w:sz w:val="20"/>
                <w:szCs w:val="20"/>
              </w:rPr>
            </w:pPr>
            <w:r w:rsidRPr="001941B0">
              <w:rPr>
                <w:b/>
                <w:bCs/>
                <w:sz w:val="20"/>
                <w:szCs w:val="20"/>
              </w:rPr>
              <w:lastRenderedPageBreak/>
              <w:t>Wyjaśnienie</w:t>
            </w:r>
          </w:p>
          <w:p w14:paraId="5CD0A646" w14:textId="3AD738DA" w:rsidR="00A77046" w:rsidRPr="001941B0" w:rsidRDefault="00A77046" w:rsidP="006E0CB2">
            <w:pPr>
              <w:autoSpaceDE w:val="0"/>
              <w:autoSpaceDN w:val="0"/>
              <w:adjustRightInd w:val="0"/>
              <w:spacing w:after="0" w:line="240" w:lineRule="auto"/>
              <w:rPr>
                <w:sz w:val="20"/>
                <w:szCs w:val="20"/>
              </w:rPr>
            </w:pPr>
            <w:r w:rsidRPr="001941B0">
              <w:rPr>
                <w:sz w:val="20"/>
                <w:szCs w:val="20"/>
              </w:rPr>
              <w:t xml:space="preserve">W </w:t>
            </w:r>
            <w:r w:rsidR="00E7634C" w:rsidRPr="001941B0">
              <w:rPr>
                <w:sz w:val="20"/>
                <w:szCs w:val="20"/>
              </w:rPr>
              <w:t xml:space="preserve">systemie </w:t>
            </w:r>
            <w:r w:rsidRPr="001941B0">
              <w:rPr>
                <w:sz w:val="20"/>
                <w:szCs w:val="20"/>
              </w:rPr>
              <w:t xml:space="preserve">DOM nie </w:t>
            </w:r>
            <w:r w:rsidR="00E7634C" w:rsidRPr="001941B0">
              <w:rPr>
                <w:sz w:val="20"/>
                <w:szCs w:val="20"/>
              </w:rPr>
              <w:t xml:space="preserve">są stosowane </w:t>
            </w:r>
            <w:r w:rsidRPr="001941B0">
              <w:rPr>
                <w:sz w:val="20"/>
                <w:szCs w:val="20"/>
              </w:rPr>
              <w:t>rozwiąza</w:t>
            </w:r>
            <w:r w:rsidR="00E7634C" w:rsidRPr="001941B0">
              <w:rPr>
                <w:sz w:val="20"/>
                <w:szCs w:val="20"/>
              </w:rPr>
              <w:t>nia</w:t>
            </w:r>
            <w:r w:rsidRPr="001941B0">
              <w:rPr>
                <w:sz w:val="20"/>
                <w:szCs w:val="20"/>
              </w:rPr>
              <w:t xml:space="preserve"> AI</w:t>
            </w:r>
            <w:r w:rsidR="000D013C" w:rsidRPr="001941B0">
              <w:rPr>
                <w:sz w:val="20"/>
                <w:szCs w:val="20"/>
              </w:rPr>
              <w:t xml:space="preserve">. Analiza (DPIA) </w:t>
            </w:r>
            <w:r w:rsidR="00E7634C" w:rsidRPr="001941B0">
              <w:rPr>
                <w:sz w:val="20"/>
                <w:szCs w:val="20"/>
              </w:rPr>
              <w:t>została</w:t>
            </w:r>
            <w:r w:rsidR="000D013C" w:rsidRPr="001941B0">
              <w:rPr>
                <w:sz w:val="20"/>
                <w:szCs w:val="20"/>
              </w:rPr>
              <w:t xml:space="preserve"> </w:t>
            </w:r>
            <w:r w:rsidR="00C43DC9" w:rsidRPr="001941B0">
              <w:rPr>
                <w:sz w:val="20"/>
                <w:szCs w:val="20"/>
              </w:rPr>
              <w:t>przeprowadzona</w:t>
            </w:r>
            <w:r w:rsidR="00E7634C" w:rsidRPr="001941B0">
              <w:rPr>
                <w:sz w:val="20"/>
                <w:szCs w:val="20"/>
              </w:rPr>
              <w:t>.</w:t>
            </w:r>
          </w:p>
        </w:tc>
      </w:tr>
      <w:tr w:rsidR="00FC7212" w:rsidRPr="001941B0" w14:paraId="470C3A6B" w14:textId="77777777" w:rsidTr="7139DBB9">
        <w:tc>
          <w:tcPr>
            <w:tcW w:w="1125" w:type="dxa"/>
            <w:shd w:val="clear" w:color="auto" w:fill="FFFFFF" w:themeFill="background1"/>
          </w:tcPr>
          <w:p w14:paraId="2DA1B7FB" w14:textId="77777777" w:rsidR="005976E8" w:rsidRPr="001941B0" w:rsidRDefault="005976E8"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01BE18A" w14:textId="6CC25EA0" w:rsidR="005976E8" w:rsidRPr="001941B0" w:rsidRDefault="005976E8"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4C2E6E66" w14:textId="5B5884D1" w:rsidR="00DF1355" w:rsidRPr="001941B0" w:rsidRDefault="005C3A59" w:rsidP="006E0CB2">
            <w:pPr>
              <w:autoSpaceDE w:val="0"/>
              <w:autoSpaceDN w:val="0"/>
              <w:adjustRightInd w:val="0"/>
              <w:spacing w:after="0" w:line="240" w:lineRule="auto"/>
              <w:rPr>
                <w:rFonts w:cs="Calibri"/>
                <w:b/>
                <w:bCs/>
                <w:sz w:val="20"/>
                <w:szCs w:val="20"/>
              </w:rPr>
            </w:pPr>
            <w:r>
              <w:rPr>
                <w:rFonts w:cs="Calibri"/>
                <w:sz w:val="20"/>
                <w:szCs w:val="20"/>
              </w:rPr>
              <w:t>A</w:t>
            </w:r>
            <w:r w:rsidR="005976E8" w:rsidRPr="001941B0">
              <w:rPr>
                <w:rFonts w:cs="Calibri"/>
                <w:sz w:val="20"/>
                <w:szCs w:val="20"/>
              </w:rPr>
              <w:t xml:space="preserve">rt. 5 pkt 9 </w:t>
            </w:r>
          </w:p>
          <w:p w14:paraId="38A83E4E" w14:textId="7A057350" w:rsidR="005976E8" w:rsidRPr="001941B0" w:rsidRDefault="005976E8"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4AB5DADD" w14:textId="5200B767" w:rsidR="001542AF" w:rsidRPr="001941B0" w:rsidRDefault="00573B1B" w:rsidP="001542AF">
            <w:pPr>
              <w:autoSpaceDE w:val="0"/>
              <w:autoSpaceDN w:val="0"/>
              <w:adjustRightInd w:val="0"/>
              <w:spacing w:after="0" w:line="240" w:lineRule="auto"/>
              <w:rPr>
                <w:rFonts w:cs="Calibri"/>
                <w:bCs/>
                <w:sz w:val="20"/>
                <w:szCs w:val="20"/>
              </w:rPr>
            </w:pPr>
            <w:r w:rsidRPr="001941B0">
              <w:rPr>
                <w:rFonts w:cs="Calibri"/>
                <w:bCs/>
                <w:sz w:val="20"/>
                <w:szCs w:val="20"/>
              </w:rPr>
              <w:t xml:space="preserve">9. </w:t>
            </w:r>
            <w:r w:rsidR="001542AF" w:rsidRPr="001941B0">
              <w:rPr>
                <w:rFonts w:cs="Calibri"/>
                <w:bCs/>
                <w:sz w:val="20"/>
                <w:szCs w:val="20"/>
              </w:rPr>
              <w:t>Zgodnie z art. 11c ust. 2 pkt 3 ustawy o systemie informacji w ochronie zdrowia w systemie Domowej Opieki Medycznej będą przetwarzane dane kontaktowe usługobiorcy w postaci w numeru telefonu oraz adresu poczty elektronicznej. Podobnie, jak w przypadku uwagi dotyczącej wprowadzanej w ustawie o prawach</w:t>
            </w:r>
          </w:p>
          <w:p w14:paraId="0C1B3918" w14:textId="01B1B124" w:rsidR="001542AF" w:rsidRPr="001941B0" w:rsidRDefault="001542AF" w:rsidP="001542AF">
            <w:pPr>
              <w:autoSpaceDE w:val="0"/>
              <w:autoSpaceDN w:val="0"/>
              <w:adjustRightInd w:val="0"/>
              <w:spacing w:after="0" w:line="240" w:lineRule="auto"/>
              <w:rPr>
                <w:rFonts w:cs="Calibri"/>
                <w:bCs/>
                <w:sz w:val="20"/>
                <w:szCs w:val="20"/>
              </w:rPr>
            </w:pPr>
            <w:r w:rsidRPr="001941B0">
              <w:rPr>
                <w:rFonts w:cs="Calibri"/>
                <w:bCs/>
                <w:sz w:val="20"/>
                <w:szCs w:val="20"/>
              </w:rPr>
              <w:t>pacjenta i Rzeczniku Praw Pacjenta karcie pacjenta, organ nadzorczy wskazuje, że w polskim porządku prawnym nie ma obowiązku posiadania numeru telefonu oraz adresu poczty elektronicznej. Projektodawca powinien uzasadnić, dlaczego podanie tych danych jest obligatoryjne. Z przepisów i uzasadnienia projektowanej ustawy powinno jasno wynikać dlaczego ich podanie jest niezbędne dla osiągnięcia celów przetwarzania,</w:t>
            </w:r>
          </w:p>
          <w:p w14:paraId="7BC29815" w14:textId="2DA66C15" w:rsidR="001542AF" w:rsidRPr="001941B0" w:rsidRDefault="001542AF" w:rsidP="001542AF">
            <w:pPr>
              <w:autoSpaceDE w:val="0"/>
              <w:autoSpaceDN w:val="0"/>
              <w:adjustRightInd w:val="0"/>
              <w:spacing w:after="0" w:line="240" w:lineRule="auto"/>
              <w:rPr>
                <w:rFonts w:cs="Calibri"/>
                <w:bCs/>
                <w:sz w:val="20"/>
                <w:szCs w:val="20"/>
              </w:rPr>
            </w:pPr>
            <w:r w:rsidRPr="001941B0">
              <w:rPr>
                <w:rFonts w:cs="Calibri"/>
                <w:bCs/>
                <w:sz w:val="20"/>
                <w:szCs w:val="20"/>
              </w:rPr>
              <w:lastRenderedPageBreak/>
              <w:t>zgodnie z zasadami dotyczącymi przetwarzania danych osobowych: zgodności z prawem, rzetelności i przejrzystości, ograniczenia celu, minimalizacji danych oraz rozliczalności.</w:t>
            </w:r>
          </w:p>
          <w:p w14:paraId="296B01A4" w14:textId="5A950698" w:rsidR="005976E8" w:rsidRPr="001941B0" w:rsidRDefault="001542AF" w:rsidP="001542AF">
            <w:pPr>
              <w:autoSpaceDE w:val="0"/>
              <w:autoSpaceDN w:val="0"/>
              <w:adjustRightInd w:val="0"/>
              <w:spacing w:after="0" w:line="240" w:lineRule="auto"/>
              <w:rPr>
                <w:rFonts w:cs="Calibri"/>
                <w:bCs/>
                <w:sz w:val="20"/>
                <w:szCs w:val="20"/>
              </w:rPr>
            </w:pPr>
            <w:r w:rsidRPr="001941B0">
              <w:rPr>
                <w:rFonts w:cs="Calibri"/>
                <w:bCs/>
                <w:sz w:val="20"/>
                <w:szCs w:val="20"/>
              </w:rPr>
              <w:t>Powstaje również pytanie w jaki sposób będą pozyskiwane dane kontaktowe usługobiorcy do systemu Domowej Opieki Medycznej, oraz w jaki sposób będą aktualizowane, w szczególności kiedy pacjent nie będzie mógł poinformować o ich zmianie.</w:t>
            </w:r>
          </w:p>
        </w:tc>
        <w:tc>
          <w:tcPr>
            <w:tcW w:w="2855" w:type="dxa"/>
            <w:shd w:val="clear" w:color="auto" w:fill="FFFFFF" w:themeFill="background1"/>
          </w:tcPr>
          <w:p w14:paraId="1A956E02" w14:textId="77777777" w:rsidR="0040454C" w:rsidRPr="001941B0" w:rsidRDefault="0040454C" w:rsidP="0040454C">
            <w:pPr>
              <w:autoSpaceDE w:val="0"/>
              <w:autoSpaceDN w:val="0"/>
              <w:adjustRightInd w:val="0"/>
              <w:spacing w:after="0" w:line="240" w:lineRule="auto"/>
              <w:rPr>
                <w:b/>
                <w:bCs/>
                <w:sz w:val="20"/>
                <w:szCs w:val="20"/>
              </w:rPr>
            </w:pPr>
            <w:r w:rsidRPr="001941B0">
              <w:rPr>
                <w:b/>
                <w:bCs/>
                <w:sz w:val="20"/>
                <w:szCs w:val="20"/>
              </w:rPr>
              <w:lastRenderedPageBreak/>
              <w:t>Wyjaśnienie</w:t>
            </w:r>
          </w:p>
          <w:p w14:paraId="71A9FB5F" w14:textId="77777777" w:rsidR="0040454C" w:rsidRPr="001941B0" w:rsidRDefault="0040454C" w:rsidP="0040454C">
            <w:pPr>
              <w:autoSpaceDE w:val="0"/>
              <w:autoSpaceDN w:val="0"/>
              <w:adjustRightInd w:val="0"/>
              <w:spacing w:after="0" w:line="240" w:lineRule="auto"/>
              <w:rPr>
                <w:b/>
                <w:bCs/>
                <w:sz w:val="20"/>
                <w:szCs w:val="20"/>
              </w:rPr>
            </w:pPr>
          </w:p>
          <w:p w14:paraId="211D51A4" w14:textId="77777777" w:rsidR="0040454C" w:rsidRPr="001941B0" w:rsidRDefault="0040454C" w:rsidP="0040454C">
            <w:pPr>
              <w:autoSpaceDE w:val="0"/>
              <w:autoSpaceDN w:val="0"/>
              <w:adjustRightInd w:val="0"/>
              <w:spacing w:after="0" w:line="240" w:lineRule="auto"/>
              <w:rPr>
                <w:b/>
                <w:bCs/>
                <w:sz w:val="20"/>
                <w:szCs w:val="20"/>
              </w:rPr>
            </w:pPr>
          </w:p>
          <w:p w14:paraId="092AB91D" w14:textId="2492B01A" w:rsidR="007730BC" w:rsidRPr="001941B0" w:rsidRDefault="00982418" w:rsidP="0040454C">
            <w:pPr>
              <w:autoSpaceDE w:val="0"/>
              <w:autoSpaceDN w:val="0"/>
              <w:adjustRightInd w:val="0"/>
              <w:spacing w:after="0" w:line="240" w:lineRule="auto"/>
              <w:rPr>
                <w:sz w:val="20"/>
                <w:szCs w:val="20"/>
              </w:rPr>
            </w:pPr>
            <w:r w:rsidRPr="001941B0">
              <w:rPr>
                <w:sz w:val="20"/>
                <w:szCs w:val="20"/>
              </w:rPr>
              <w:t xml:space="preserve">Podanie danych będzie miało charakter fakultatywny. </w:t>
            </w:r>
          </w:p>
        </w:tc>
      </w:tr>
      <w:tr w:rsidR="00FC7212" w:rsidRPr="001941B0" w14:paraId="0D1F8955" w14:textId="77777777" w:rsidTr="7139DBB9">
        <w:tc>
          <w:tcPr>
            <w:tcW w:w="1125" w:type="dxa"/>
            <w:shd w:val="clear" w:color="auto" w:fill="FFFFFF" w:themeFill="background1"/>
          </w:tcPr>
          <w:p w14:paraId="18F7D79C" w14:textId="77777777" w:rsidR="001542AF" w:rsidRPr="001941B0" w:rsidRDefault="001542AF"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7173A75" w14:textId="171FF905" w:rsidR="001542AF" w:rsidRPr="001941B0" w:rsidRDefault="001542AF"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1E879CE2" w14:textId="2F08C510" w:rsidR="00C5664B" w:rsidRPr="001941B0" w:rsidRDefault="005C3A59" w:rsidP="006E0CB2">
            <w:pPr>
              <w:autoSpaceDE w:val="0"/>
              <w:autoSpaceDN w:val="0"/>
              <w:adjustRightInd w:val="0"/>
              <w:spacing w:after="0" w:line="240" w:lineRule="auto"/>
              <w:rPr>
                <w:rFonts w:cs="Calibri"/>
                <w:b/>
                <w:bCs/>
                <w:sz w:val="20"/>
                <w:szCs w:val="20"/>
              </w:rPr>
            </w:pPr>
            <w:r>
              <w:rPr>
                <w:rFonts w:cs="Calibri"/>
                <w:sz w:val="20"/>
                <w:szCs w:val="20"/>
              </w:rPr>
              <w:t>A</w:t>
            </w:r>
            <w:r w:rsidR="001542AF" w:rsidRPr="001941B0">
              <w:rPr>
                <w:rFonts w:cs="Calibri"/>
                <w:sz w:val="20"/>
                <w:szCs w:val="20"/>
              </w:rPr>
              <w:t xml:space="preserve">rt. 5 pkt 9 </w:t>
            </w:r>
          </w:p>
          <w:p w14:paraId="512AA2F3" w14:textId="1D7D0DD7" w:rsidR="001542AF" w:rsidRPr="001941B0" w:rsidRDefault="001542AF"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15D26796" w14:textId="52FAE040" w:rsidR="00341364" w:rsidRPr="001941B0" w:rsidRDefault="00573B1B" w:rsidP="00341364">
            <w:pPr>
              <w:autoSpaceDE w:val="0"/>
              <w:autoSpaceDN w:val="0"/>
              <w:adjustRightInd w:val="0"/>
              <w:spacing w:after="0" w:line="240" w:lineRule="auto"/>
              <w:rPr>
                <w:rFonts w:cs="Calibri"/>
                <w:bCs/>
                <w:sz w:val="20"/>
                <w:szCs w:val="20"/>
              </w:rPr>
            </w:pPr>
            <w:r w:rsidRPr="001941B0">
              <w:rPr>
                <w:rFonts w:cs="Calibri"/>
                <w:bCs/>
                <w:sz w:val="20"/>
                <w:szCs w:val="20"/>
              </w:rPr>
              <w:t xml:space="preserve">10. </w:t>
            </w:r>
            <w:r w:rsidR="00341364" w:rsidRPr="001941B0">
              <w:rPr>
                <w:rFonts w:cs="Calibri"/>
                <w:bCs/>
                <w:sz w:val="20"/>
                <w:szCs w:val="20"/>
              </w:rPr>
              <w:t>Zgodnie z art. 11c ust. 2 pkt 5 ustawy o systemie informacji w ochronie zdrowia w systemie Domowej Opieki Medycznej znajdą się dane identyfikacyjne usługodawców i pracowników medycznych w zakresie niezbędnym do identyfikacji osoby udzielającej świadczenia. Projektowany przepis ma charakter niedookreślony, z innych przepisów projektowanej ustawy nie wynika również jakie dane uznaje się niezbędne do identyfikacji</w:t>
            </w:r>
          </w:p>
          <w:p w14:paraId="0336E01C" w14:textId="05B4D044" w:rsidR="00341364" w:rsidRPr="001941B0" w:rsidRDefault="00341364" w:rsidP="00341364">
            <w:pPr>
              <w:autoSpaceDE w:val="0"/>
              <w:autoSpaceDN w:val="0"/>
              <w:adjustRightInd w:val="0"/>
              <w:spacing w:after="0" w:line="240" w:lineRule="auto"/>
              <w:rPr>
                <w:rFonts w:cs="Calibri"/>
                <w:bCs/>
                <w:sz w:val="20"/>
                <w:szCs w:val="20"/>
              </w:rPr>
            </w:pPr>
            <w:r w:rsidRPr="001941B0">
              <w:rPr>
                <w:rFonts w:cs="Calibri"/>
                <w:bCs/>
                <w:sz w:val="20"/>
                <w:szCs w:val="20"/>
              </w:rPr>
              <w:t>ww. osób. Projektowany przepis powinien ustalać więc enumeratywnie katalog danych identyfikacyjnych usługodawców i pracowników medycznych, co odpowiadałoby zasadzie</w:t>
            </w:r>
          </w:p>
          <w:p w14:paraId="6BBA1546" w14:textId="0BBB7F31" w:rsidR="001542AF" w:rsidRPr="001941B0" w:rsidRDefault="00341364" w:rsidP="00341364">
            <w:pPr>
              <w:autoSpaceDE w:val="0"/>
              <w:autoSpaceDN w:val="0"/>
              <w:adjustRightInd w:val="0"/>
              <w:spacing w:after="0" w:line="240" w:lineRule="auto"/>
              <w:rPr>
                <w:rFonts w:cs="Calibri"/>
                <w:bCs/>
                <w:sz w:val="20"/>
                <w:szCs w:val="20"/>
              </w:rPr>
            </w:pPr>
            <w:r w:rsidRPr="001941B0">
              <w:rPr>
                <w:rFonts w:cs="Calibri"/>
                <w:bCs/>
                <w:sz w:val="20"/>
                <w:szCs w:val="20"/>
              </w:rPr>
              <w:t>zgodności z prawem, rzetelności i przejrzystości, ograniczenia celu oraz minimalizacji danych.</w:t>
            </w:r>
          </w:p>
        </w:tc>
        <w:tc>
          <w:tcPr>
            <w:tcW w:w="2855" w:type="dxa"/>
            <w:shd w:val="clear" w:color="auto" w:fill="FFFFFF" w:themeFill="background1"/>
          </w:tcPr>
          <w:p w14:paraId="71E1625E" w14:textId="53CD18FC" w:rsidR="00497719" w:rsidRPr="001941B0" w:rsidRDefault="00497719" w:rsidP="00497719">
            <w:pPr>
              <w:autoSpaceDE w:val="0"/>
              <w:autoSpaceDN w:val="0"/>
              <w:adjustRightInd w:val="0"/>
              <w:spacing w:after="0" w:line="240" w:lineRule="auto"/>
              <w:rPr>
                <w:b/>
                <w:bCs/>
                <w:sz w:val="20"/>
                <w:szCs w:val="20"/>
              </w:rPr>
            </w:pPr>
            <w:r w:rsidRPr="001941B0">
              <w:rPr>
                <w:b/>
                <w:bCs/>
                <w:sz w:val="20"/>
                <w:szCs w:val="20"/>
              </w:rPr>
              <w:t xml:space="preserve">Uwaga uwzględniona </w:t>
            </w:r>
          </w:p>
          <w:p w14:paraId="5CCF05D4" w14:textId="6E7A7EF5" w:rsidR="00497719" w:rsidRPr="001941B0" w:rsidRDefault="00497719" w:rsidP="00497719">
            <w:pPr>
              <w:autoSpaceDE w:val="0"/>
              <w:autoSpaceDN w:val="0"/>
              <w:adjustRightInd w:val="0"/>
              <w:spacing w:after="0" w:line="240" w:lineRule="auto"/>
              <w:rPr>
                <w:rFonts w:cstheme="minorHAnsi"/>
                <w:bCs/>
                <w:iCs/>
                <w:sz w:val="20"/>
                <w:szCs w:val="20"/>
              </w:rPr>
            </w:pPr>
          </w:p>
        </w:tc>
      </w:tr>
      <w:tr w:rsidR="00FC7212" w:rsidRPr="001941B0" w14:paraId="160D740E" w14:textId="77777777" w:rsidTr="7139DBB9">
        <w:tc>
          <w:tcPr>
            <w:tcW w:w="1125" w:type="dxa"/>
            <w:shd w:val="clear" w:color="auto" w:fill="FFFFFF" w:themeFill="background1"/>
          </w:tcPr>
          <w:p w14:paraId="017BFF3B" w14:textId="77777777" w:rsidR="00040FA5" w:rsidRPr="001941B0" w:rsidRDefault="00040FA5"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CFB28C8" w14:textId="53A13172" w:rsidR="00040FA5" w:rsidRPr="001941B0" w:rsidRDefault="00040FA5"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1A5839AD" w14:textId="7102C4A4" w:rsidR="00040FA5" w:rsidRPr="001941B0" w:rsidRDefault="00040FA5" w:rsidP="006E0CB2">
            <w:pPr>
              <w:autoSpaceDE w:val="0"/>
              <w:autoSpaceDN w:val="0"/>
              <w:adjustRightInd w:val="0"/>
              <w:spacing w:after="0" w:line="240" w:lineRule="auto"/>
              <w:rPr>
                <w:rFonts w:cs="Calibri"/>
                <w:b/>
                <w:bCs/>
                <w:sz w:val="20"/>
                <w:szCs w:val="20"/>
              </w:rPr>
            </w:pPr>
            <w:r w:rsidRPr="001941B0">
              <w:rPr>
                <w:rFonts w:cs="Calibri"/>
                <w:sz w:val="20"/>
                <w:szCs w:val="20"/>
              </w:rPr>
              <w:t xml:space="preserve">art. 5 pkt 9 </w:t>
            </w:r>
          </w:p>
        </w:tc>
        <w:tc>
          <w:tcPr>
            <w:tcW w:w="5652" w:type="dxa"/>
            <w:shd w:val="clear" w:color="auto" w:fill="FFFFFF" w:themeFill="background1"/>
          </w:tcPr>
          <w:p w14:paraId="01CE0D6D" w14:textId="325CE80A" w:rsidR="001E1453" w:rsidRPr="001941B0" w:rsidRDefault="00573B1B" w:rsidP="001E1453">
            <w:pPr>
              <w:autoSpaceDE w:val="0"/>
              <w:autoSpaceDN w:val="0"/>
              <w:adjustRightInd w:val="0"/>
              <w:spacing w:after="0" w:line="240" w:lineRule="auto"/>
              <w:rPr>
                <w:rFonts w:cs="Calibri"/>
                <w:bCs/>
                <w:sz w:val="20"/>
                <w:szCs w:val="20"/>
              </w:rPr>
            </w:pPr>
            <w:r w:rsidRPr="001941B0">
              <w:rPr>
                <w:rFonts w:cs="Calibri"/>
                <w:bCs/>
                <w:sz w:val="20"/>
                <w:szCs w:val="20"/>
              </w:rPr>
              <w:t xml:space="preserve">11. </w:t>
            </w:r>
            <w:r w:rsidR="001E1453" w:rsidRPr="001941B0">
              <w:rPr>
                <w:rFonts w:cs="Calibri"/>
                <w:bCs/>
                <w:sz w:val="20"/>
                <w:szCs w:val="20"/>
              </w:rPr>
              <w:t>Zgodnie z art. 11c ust. 6 ustawy o systemie informacji w ochronie zdrowia: „Minister właściwy do spraw zdrowia może przekazywać do systemu Domowej Opieki Medycznej dane, o których mowa w ust. 2, przetwarzane w innych systemach</w:t>
            </w:r>
            <w:r w:rsidR="00AF03CF" w:rsidRPr="001941B0">
              <w:rPr>
                <w:rFonts w:cs="Calibri"/>
                <w:bCs/>
                <w:sz w:val="20"/>
                <w:szCs w:val="20"/>
              </w:rPr>
              <w:t xml:space="preserve"> </w:t>
            </w:r>
            <w:r w:rsidR="001E1453" w:rsidRPr="001941B0">
              <w:rPr>
                <w:rFonts w:cs="Calibri"/>
                <w:bCs/>
                <w:sz w:val="20"/>
                <w:szCs w:val="20"/>
              </w:rPr>
              <w:t>teleinformatycznych, dla których jest administratorem danych, a także może przekazywać</w:t>
            </w:r>
            <w:r w:rsidR="0055000A" w:rsidRPr="001941B0">
              <w:rPr>
                <w:rFonts w:cs="Calibri"/>
                <w:bCs/>
                <w:sz w:val="20"/>
                <w:szCs w:val="20"/>
              </w:rPr>
              <w:t xml:space="preserve"> </w:t>
            </w:r>
            <w:r w:rsidR="001E1453" w:rsidRPr="001941B0">
              <w:rPr>
                <w:rFonts w:cs="Calibri"/>
                <w:bCs/>
                <w:sz w:val="20"/>
                <w:szCs w:val="20"/>
              </w:rPr>
              <w:t>dane przetwarzane w Systemie Domowej Opieki Medycznej do innych systemów</w:t>
            </w:r>
            <w:r w:rsidR="00AF03CF" w:rsidRPr="001941B0">
              <w:rPr>
                <w:rFonts w:cs="Calibri"/>
                <w:bCs/>
                <w:sz w:val="20"/>
                <w:szCs w:val="20"/>
              </w:rPr>
              <w:t xml:space="preserve"> </w:t>
            </w:r>
            <w:r w:rsidR="001E1453" w:rsidRPr="001941B0">
              <w:rPr>
                <w:rFonts w:cs="Calibri"/>
                <w:bCs/>
                <w:sz w:val="20"/>
                <w:szCs w:val="20"/>
              </w:rPr>
              <w:t>teleinformatycznych, dla których jest administratorem danych, w celu monitorowania</w:t>
            </w:r>
            <w:r w:rsidR="00AF03CF" w:rsidRPr="001941B0">
              <w:rPr>
                <w:rFonts w:cs="Calibri"/>
                <w:bCs/>
                <w:sz w:val="20"/>
                <w:szCs w:val="20"/>
              </w:rPr>
              <w:t xml:space="preserve"> </w:t>
            </w:r>
            <w:r w:rsidR="001E1453" w:rsidRPr="001941B0">
              <w:rPr>
                <w:rFonts w:cs="Calibri"/>
                <w:bCs/>
                <w:sz w:val="20"/>
                <w:szCs w:val="20"/>
              </w:rPr>
              <w:t>polityki zdrowotnej państwa oraz podnoszenia jakości i dostępności świadczeń opieki</w:t>
            </w:r>
            <w:r w:rsidR="00AF03CF" w:rsidRPr="001941B0">
              <w:rPr>
                <w:rFonts w:cs="Calibri"/>
                <w:bCs/>
                <w:sz w:val="20"/>
                <w:szCs w:val="20"/>
              </w:rPr>
              <w:t xml:space="preserve"> </w:t>
            </w:r>
            <w:r w:rsidR="001E1453" w:rsidRPr="001941B0">
              <w:rPr>
                <w:rFonts w:cs="Calibri"/>
                <w:bCs/>
                <w:sz w:val="20"/>
                <w:szCs w:val="20"/>
              </w:rPr>
              <w:t>zdrowotnej.”.</w:t>
            </w:r>
            <w:r w:rsidR="00AF03CF" w:rsidRPr="001941B0">
              <w:rPr>
                <w:rFonts w:cs="Calibri"/>
                <w:bCs/>
                <w:sz w:val="20"/>
                <w:szCs w:val="20"/>
              </w:rPr>
              <w:t xml:space="preserve"> </w:t>
            </w:r>
            <w:r w:rsidR="001E1453" w:rsidRPr="001941B0">
              <w:rPr>
                <w:rFonts w:cs="Calibri"/>
                <w:bCs/>
                <w:sz w:val="20"/>
                <w:szCs w:val="20"/>
              </w:rPr>
              <w:t>Po pierwsze, użycie w</w:t>
            </w:r>
            <w:r w:rsidR="00B86732" w:rsidRPr="001941B0">
              <w:rPr>
                <w:rFonts w:cs="Calibri"/>
                <w:bCs/>
                <w:sz w:val="20"/>
                <w:szCs w:val="20"/>
              </w:rPr>
              <w:t xml:space="preserve"> </w:t>
            </w:r>
            <w:r w:rsidR="001E1453" w:rsidRPr="001941B0">
              <w:rPr>
                <w:rFonts w:cs="Calibri"/>
                <w:bCs/>
                <w:sz w:val="20"/>
                <w:szCs w:val="20"/>
              </w:rPr>
              <w:t>projektowanym przepisie sformułowania „może</w:t>
            </w:r>
            <w:r w:rsidR="00B86732" w:rsidRPr="001941B0">
              <w:rPr>
                <w:rFonts w:cs="Calibri"/>
                <w:bCs/>
                <w:sz w:val="20"/>
                <w:szCs w:val="20"/>
              </w:rPr>
              <w:t xml:space="preserve"> </w:t>
            </w:r>
            <w:r w:rsidR="001E1453" w:rsidRPr="001941B0">
              <w:rPr>
                <w:rFonts w:cs="Calibri"/>
                <w:bCs/>
                <w:sz w:val="20"/>
                <w:szCs w:val="20"/>
              </w:rPr>
              <w:t>przekazywać” daje ministrowi właściwemu do spraw zdrowia możliwość przekazywania do</w:t>
            </w:r>
            <w:r w:rsidR="00B86732" w:rsidRPr="001941B0">
              <w:rPr>
                <w:rFonts w:cs="Calibri"/>
                <w:bCs/>
                <w:sz w:val="20"/>
                <w:szCs w:val="20"/>
              </w:rPr>
              <w:t xml:space="preserve"> </w:t>
            </w:r>
            <w:r w:rsidR="001E1453" w:rsidRPr="001941B0">
              <w:rPr>
                <w:rFonts w:cs="Calibri"/>
                <w:bCs/>
                <w:sz w:val="20"/>
                <w:szCs w:val="20"/>
              </w:rPr>
              <w:t xml:space="preserve">systemu Domowej Opieki Medycznej danych osobowych na </w:t>
            </w:r>
            <w:r w:rsidR="001E1453" w:rsidRPr="001941B0">
              <w:rPr>
                <w:rFonts w:cs="Calibri"/>
                <w:bCs/>
                <w:sz w:val="20"/>
                <w:szCs w:val="20"/>
              </w:rPr>
              <w:lastRenderedPageBreak/>
              <w:t>podstawie subiektywnej i</w:t>
            </w:r>
            <w:r w:rsidR="00B86732" w:rsidRPr="001941B0">
              <w:rPr>
                <w:rFonts w:cs="Calibri"/>
                <w:bCs/>
                <w:sz w:val="20"/>
                <w:szCs w:val="20"/>
              </w:rPr>
              <w:t xml:space="preserve"> </w:t>
            </w:r>
            <w:r w:rsidR="001E1453" w:rsidRPr="001941B0">
              <w:rPr>
                <w:rFonts w:cs="Calibri"/>
                <w:bCs/>
                <w:sz w:val="20"/>
                <w:szCs w:val="20"/>
              </w:rPr>
              <w:t>uznaniowej decyzji, dlatego ustawowo określone powinny zostać przesłanki podjęcia takiej</w:t>
            </w:r>
            <w:r w:rsidR="00863E9B" w:rsidRPr="001941B0">
              <w:rPr>
                <w:rFonts w:cs="Calibri"/>
                <w:bCs/>
                <w:sz w:val="20"/>
                <w:szCs w:val="20"/>
              </w:rPr>
              <w:t xml:space="preserve"> </w:t>
            </w:r>
            <w:r w:rsidR="001E1453" w:rsidRPr="001941B0">
              <w:rPr>
                <w:rFonts w:cs="Calibri"/>
                <w:bCs/>
                <w:sz w:val="20"/>
                <w:szCs w:val="20"/>
              </w:rPr>
              <w:t>decyzji.</w:t>
            </w:r>
            <w:r w:rsidR="00863E9B" w:rsidRPr="001941B0">
              <w:rPr>
                <w:rFonts w:cs="Calibri"/>
                <w:bCs/>
                <w:sz w:val="20"/>
                <w:szCs w:val="20"/>
              </w:rPr>
              <w:t xml:space="preserve"> </w:t>
            </w:r>
            <w:r w:rsidR="001E1453" w:rsidRPr="001941B0">
              <w:rPr>
                <w:rFonts w:cs="Calibri"/>
                <w:bCs/>
                <w:sz w:val="20"/>
                <w:szCs w:val="20"/>
              </w:rPr>
              <w:t>Po drugie, przepis nie określa też, z których</w:t>
            </w:r>
            <w:r w:rsidR="00863E9B" w:rsidRPr="001941B0">
              <w:rPr>
                <w:rFonts w:cs="Calibri"/>
                <w:bCs/>
                <w:sz w:val="20"/>
                <w:szCs w:val="20"/>
              </w:rPr>
              <w:t xml:space="preserve"> </w:t>
            </w:r>
            <w:r w:rsidR="001E1453" w:rsidRPr="001941B0">
              <w:rPr>
                <w:rFonts w:cs="Calibri"/>
                <w:bCs/>
                <w:sz w:val="20"/>
                <w:szCs w:val="20"/>
              </w:rPr>
              <w:t>systemów teleinformatycznych miałyby</w:t>
            </w:r>
            <w:r w:rsidR="00863E9B" w:rsidRPr="001941B0">
              <w:rPr>
                <w:rFonts w:cs="Calibri"/>
                <w:bCs/>
                <w:sz w:val="20"/>
                <w:szCs w:val="20"/>
              </w:rPr>
              <w:t xml:space="preserve"> </w:t>
            </w:r>
            <w:r w:rsidR="001E1453" w:rsidRPr="001941B0">
              <w:rPr>
                <w:rFonts w:cs="Calibri"/>
                <w:bCs/>
                <w:sz w:val="20"/>
                <w:szCs w:val="20"/>
              </w:rPr>
              <w:t>być przekazywane dane, ani do których przekazywane, co wpływa na niejasność</w:t>
            </w:r>
            <w:r w:rsidR="00863E9B" w:rsidRPr="001941B0">
              <w:rPr>
                <w:rFonts w:cs="Calibri"/>
                <w:bCs/>
                <w:sz w:val="20"/>
                <w:szCs w:val="20"/>
              </w:rPr>
              <w:t xml:space="preserve"> </w:t>
            </w:r>
            <w:r w:rsidR="001E1453" w:rsidRPr="001941B0">
              <w:rPr>
                <w:rFonts w:cs="Calibri"/>
                <w:bCs/>
                <w:sz w:val="20"/>
                <w:szCs w:val="20"/>
              </w:rPr>
              <w:t>projektowanego przepisu, gdyż nie każdy rejestr publiczny, będący systemem</w:t>
            </w:r>
            <w:r w:rsidR="00863E9B" w:rsidRPr="001941B0">
              <w:rPr>
                <w:rFonts w:cs="Calibri"/>
                <w:bCs/>
                <w:sz w:val="20"/>
                <w:szCs w:val="20"/>
              </w:rPr>
              <w:t xml:space="preserve"> </w:t>
            </w:r>
            <w:r w:rsidR="001E1453" w:rsidRPr="001941B0">
              <w:rPr>
                <w:rFonts w:cs="Calibri"/>
                <w:bCs/>
                <w:sz w:val="20"/>
                <w:szCs w:val="20"/>
              </w:rPr>
              <w:t>teleinformatycznym, którego administratorem jest minister właściwy do spraw zdrowia</w:t>
            </w:r>
            <w:r w:rsidR="00863E9B" w:rsidRPr="001941B0">
              <w:rPr>
                <w:rFonts w:cs="Calibri"/>
                <w:bCs/>
                <w:sz w:val="20"/>
                <w:szCs w:val="20"/>
              </w:rPr>
              <w:t xml:space="preserve"> </w:t>
            </w:r>
            <w:r w:rsidR="001E1453" w:rsidRPr="001941B0">
              <w:rPr>
                <w:rFonts w:cs="Calibri"/>
                <w:bCs/>
                <w:sz w:val="20"/>
                <w:szCs w:val="20"/>
              </w:rPr>
              <w:t>może być klasyfikowany ustawowo jako system teleinformatyczny.</w:t>
            </w:r>
            <w:r w:rsidR="00863E9B" w:rsidRPr="001941B0">
              <w:rPr>
                <w:rFonts w:cs="Calibri"/>
                <w:bCs/>
                <w:sz w:val="20"/>
                <w:szCs w:val="20"/>
              </w:rPr>
              <w:t xml:space="preserve"> </w:t>
            </w:r>
            <w:r w:rsidR="001E1453" w:rsidRPr="001941B0">
              <w:rPr>
                <w:rFonts w:cs="Calibri"/>
                <w:bCs/>
                <w:sz w:val="20"/>
                <w:szCs w:val="20"/>
              </w:rPr>
              <w:t>Dodatkowo, ustawa o systemie informacji w ochronie zdrowia część</w:t>
            </w:r>
            <w:r w:rsidR="00863E9B" w:rsidRPr="001941B0">
              <w:rPr>
                <w:rFonts w:cs="Calibri"/>
                <w:bCs/>
                <w:sz w:val="20"/>
                <w:szCs w:val="20"/>
              </w:rPr>
              <w:t xml:space="preserve"> </w:t>
            </w:r>
            <w:r w:rsidR="001E1453" w:rsidRPr="001941B0">
              <w:rPr>
                <w:rFonts w:cs="Calibri"/>
                <w:bCs/>
                <w:sz w:val="20"/>
                <w:szCs w:val="20"/>
              </w:rPr>
              <w:t>odpowiedzialności za administrowanie systemów teleinformatycznych, których</w:t>
            </w:r>
          </w:p>
          <w:p w14:paraId="32C642CE" w14:textId="482C3609" w:rsidR="001E1453" w:rsidRPr="001941B0" w:rsidRDefault="001E1453" w:rsidP="001E1453">
            <w:pPr>
              <w:autoSpaceDE w:val="0"/>
              <w:autoSpaceDN w:val="0"/>
              <w:adjustRightInd w:val="0"/>
              <w:spacing w:after="0" w:line="240" w:lineRule="auto"/>
              <w:rPr>
                <w:rFonts w:cs="Calibri"/>
                <w:bCs/>
                <w:sz w:val="20"/>
                <w:szCs w:val="20"/>
              </w:rPr>
            </w:pPr>
            <w:r w:rsidRPr="001941B0">
              <w:rPr>
                <w:rFonts w:cs="Calibri"/>
                <w:bCs/>
                <w:sz w:val="20"/>
                <w:szCs w:val="20"/>
              </w:rPr>
              <w:t>administratorem jest Minister Zdrowia, przypisuje jednostce podległej ministrowi</w:t>
            </w:r>
            <w:r w:rsidR="00863E9B" w:rsidRPr="001941B0">
              <w:rPr>
                <w:rFonts w:cs="Calibri"/>
                <w:bCs/>
                <w:sz w:val="20"/>
                <w:szCs w:val="20"/>
              </w:rPr>
              <w:t xml:space="preserve"> </w:t>
            </w:r>
            <w:r w:rsidRPr="001941B0">
              <w:rPr>
                <w:rFonts w:cs="Calibri"/>
                <w:bCs/>
                <w:sz w:val="20"/>
                <w:szCs w:val="20"/>
              </w:rPr>
              <w:t>właściwemu do spraw zdrowia właściwej w zakresie systemów informacyjnych</w:t>
            </w:r>
            <w:r w:rsidR="00863E9B" w:rsidRPr="001941B0">
              <w:rPr>
                <w:rFonts w:cs="Calibri"/>
                <w:bCs/>
                <w:sz w:val="20"/>
                <w:szCs w:val="20"/>
              </w:rPr>
              <w:t xml:space="preserve"> </w:t>
            </w:r>
            <w:r w:rsidRPr="001941B0">
              <w:rPr>
                <w:rFonts w:cs="Calibri"/>
                <w:bCs/>
                <w:sz w:val="20"/>
                <w:szCs w:val="20"/>
              </w:rPr>
              <w:t>ochrony zdrowia, co wpływa negatywnie na przejrzystość projektowanych</w:t>
            </w:r>
            <w:r w:rsidR="00863E9B" w:rsidRPr="001941B0">
              <w:rPr>
                <w:rFonts w:cs="Calibri"/>
                <w:bCs/>
                <w:sz w:val="20"/>
                <w:szCs w:val="20"/>
              </w:rPr>
              <w:t xml:space="preserve"> </w:t>
            </w:r>
            <w:r w:rsidRPr="001941B0">
              <w:rPr>
                <w:rFonts w:cs="Calibri"/>
                <w:bCs/>
                <w:sz w:val="20"/>
                <w:szCs w:val="20"/>
              </w:rPr>
              <w:t>przepisów (jest to problem systemowy wielokrotnie sygnalizowany przez organ</w:t>
            </w:r>
          </w:p>
          <w:p w14:paraId="642A2C35" w14:textId="11CDF281" w:rsidR="001E1453" w:rsidRPr="001941B0" w:rsidRDefault="001E1453" w:rsidP="001E1453">
            <w:pPr>
              <w:autoSpaceDE w:val="0"/>
              <w:autoSpaceDN w:val="0"/>
              <w:adjustRightInd w:val="0"/>
              <w:spacing w:after="0" w:line="240" w:lineRule="auto"/>
              <w:rPr>
                <w:rFonts w:cs="Calibri"/>
                <w:bCs/>
                <w:sz w:val="20"/>
                <w:szCs w:val="20"/>
              </w:rPr>
            </w:pPr>
            <w:r w:rsidRPr="001941B0">
              <w:rPr>
                <w:rFonts w:cs="Calibri"/>
                <w:bCs/>
                <w:sz w:val="20"/>
                <w:szCs w:val="20"/>
              </w:rPr>
              <w:t>nadzorczy, nadal nie uregulowany w przepisach prawa). Ogólny cel, jakim jest</w:t>
            </w:r>
            <w:r w:rsidR="00863E9B" w:rsidRPr="001941B0">
              <w:rPr>
                <w:rFonts w:cs="Calibri"/>
                <w:bCs/>
                <w:sz w:val="20"/>
                <w:szCs w:val="20"/>
              </w:rPr>
              <w:t xml:space="preserve"> </w:t>
            </w:r>
            <w:r w:rsidRPr="001941B0">
              <w:rPr>
                <w:rFonts w:cs="Calibri"/>
                <w:bCs/>
                <w:sz w:val="20"/>
                <w:szCs w:val="20"/>
              </w:rPr>
              <w:t>monitorowanie polityki zdrowotnej państwa oraz podnoszenie jakości i dostępności</w:t>
            </w:r>
            <w:r w:rsidR="00FC6C57" w:rsidRPr="001941B0">
              <w:rPr>
                <w:rFonts w:cs="Calibri"/>
                <w:bCs/>
                <w:sz w:val="20"/>
                <w:szCs w:val="20"/>
              </w:rPr>
              <w:t xml:space="preserve"> </w:t>
            </w:r>
            <w:r w:rsidRPr="001941B0">
              <w:rPr>
                <w:rFonts w:cs="Calibri"/>
                <w:bCs/>
                <w:sz w:val="20"/>
                <w:szCs w:val="20"/>
              </w:rPr>
              <w:t>świadczeń opieki zdrowotnej, nie uzasadnia w ocenie organu nadzorczego możliwości</w:t>
            </w:r>
          </w:p>
          <w:p w14:paraId="234D35E9" w14:textId="17A579FB" w:rsidR="001E1453" w:rsidRPr="001941B0" w:rsidRDefault="001E1453" w:rsidP="001E1453">
            <w:pPr>
              <w:autoSpaceDE w:val="0"/>
              <w:autoSpaceDN w:val="0"/>
              <w:adjustRightInd w:val="0"/>
              <w:spacing w:after="0" w:line="240" w:lineRule="auto"/>
              <w:rPr>
                <w:rFonts w:cs="Calibri"/>
                <w:bCs/>
                <w:sz w:val="20"/>
                <w:szCs w:val="20"/>
              </w:rPr>
            </w:pPr>
            <w:r w:rsidRPr="001941B0">
              <w:rPr>
                <w:rFonts w:cs="Calibri"/>
                <w:bCs/>
                <w:sz w:val="20"/>
                <w:szCs w:val="20"/>
              </w:rPr>
              <w:t>przekazywania do Systemu Domowej Opieki Medycznej danych niespseudonimizowanych</w:t>
            </w:r>
            <w:r w:rsidR="00FC6C57" w:rsidRPr="001941B0">
              <w:rPr>
                <w:rFonts w:cs="Calibri"/>
                <w:bCs/>
                <w:sz w:val="20"/>
                <w:szCs w:val="20"/>
              </w:rPr>
              <w:t xml:space="preserve"> </w:t>
            </w:r>
            <w:r w:rsidRPr="001941B0">
              <w:rPr>
                <w:rFonts w:cs="Calibri"/>
                <w:bCs/>
                <w:sz w:val="20"/>
                <w:szCs w:val="20"/>
              </w:rPr>
              <w:t>na podstawie uznaniowej decyzji ministra (organu władzy wykonawczej).</w:t>
            </w:r>
          </w:p>
          <w:p w14:paraId="7ED5F95E" w14:textId="27F6AFFB" w:rsidR="001E1453" w:rsidRPr="001941B0" w:rsidRDefault="001E1453" w:rsidP="001E1453">
            <w:pPr>
              <w:autoSpaceDE w:val="0"/>
              <w:autoSpaceDN w:val="0"/>
              <w:adjustRightInd w:val="0"/>
              <w:spacing w:after="0" w:line="240" w:lineRule="auto"/>
              <w:rPr>
                <w:rFonts w:cs="Calibri"/>
                <w:bCs/>
                <w:sz w:val="20"/>
                <w:szCs w:val="20"/>
              </w:rPr>
            </w:pPr>
            <w:r w:rsidRPr="001941B0">
              <w:rPr>
                <w:rFonts w:cs="Calibri"/>
                <w:bCs/>
                <w:sz w:val="20"/>
                <w:szCs w:val="20"/>
              </w:rPr>
              <w:t>Konstytucyjna zasada legalizmu wymaga, aby przetwarzanie danych osobowych</w:t>
            </w:r>
            <w:r w:rsidR="00FC6C57" w:rsidRPr="001941B0">
              <w:rPr>
                <w:rFonts w:cs="Calibri"/>
                <w:bCs/>
                <w:sz w:val="20"/>
                <w:szCs w:val="20"/>
              </w:rPr>
              <w:t xml:space="preserve"> </w:t>
            </w:r>
            <w:r w:rsidRPr="001941B0">
              <w:rPr>
                <w:rFonts w:cs="Calibri"/>
                <w:bCs/>
                <w:sz w:val="20"/>
                <w:szCs w:val="20"/>
              </w:rPr>
              <w:t>przez podmioty publiczne odbywało się na podstawie i w granicach przepisów prawa.</w:t>
            </w:r>
            <w:r w:rsidR="00FC6C57" w:rsidRPr="001941B0">
              <w:rPr>
                <w:rFonts w:cs="Calibri"/>
                <w:bCs/>
                <w:sz w:val="20"/>
                <w:szCs w:val="20"/>
              </w:rPr>
              <w:t xml:space="preserve"> </w:t>
            </w:r>
            <w:r w:rsidRPr="001941B0">
              <w:rPr>
                <w:rFonts w:cs="Calibri"/>
                <w:bCs/>
                <w:sz w:val="20"/>
                <w:szCs w:val="20"/>
              </w:rPr>
              <w:t>Uwaga odnosi się również do procesu udostępniania danych, o którym mowa w art. 11c</w:t>
            </w:r>
            <w:r w:rsidR="00FC6C57" w:rsidRPr="001941B0">
              <w:rPr>
                <w:rFonts w:cs="Calibri"/>
                <w:bCs/>
                <w:sz w:val="20"/>
                <w:szCs w:val="20"/>
              </w:rPr>
              <w:t xml:space="preserve"> </w:t>
            </w:r>
            <w:r w:rsidRPr="001941B0">
              <w:rPr>
                <w:rFonts w:cs="Calibri"/>
                <w:bCs/>
                <w:sz w:val="20"/>
                <w:szCs w:val="20"/>
              </w:rPr>
              <w:t>ust. 7 ustawy o systemie informacji w ochronie zdrowia. Zgodnie z tym przepisem:</w:t>
            </w:r>
            <w:r w:rsidR="00FC6C57" w:rsidRPr="001941B0">
              <w:rPr>
                <w:rFonts w:cs="Calibri"/>
                <w:bCs/>
                <w:sz w:val="20"/>
                <w:szCs w:val="20"/>
              </w:rPr>
              <w:t xml:space="preserve"> </w:t>
            </w:r>
            <w:r w:rsidRPr="001941B0">
              <w:rPr>
                <w:rFonts w:cs="Calibri"/>
                <w:bCs/>
                <w:sz w:val="20"/>
                <w:szCs w:val="20"/>
              </w:rPr>
              <w:t>„Minister właściwy do spraw zdrowia może udostępnić dane gromadzone w systemie</w:t>
            </w:r>
            <w:r w:rsidR="00FC6C57" w:rsidRPr="001941B0">
              <w:rPr>
                <w:rFonts w:cs="Calibri"/>
                <w:bCs/>
                <w:sz w:val="20"/>
                <w:szCs w:val="20"/>
              </w:rPr>
              <w:t xml:space="preserve"> </w:t>
            </w:r>
            <w:r w:rsidRPr="001941B0">
              <w:rPr>
                <w:rFonts w:cs="Calibri"/>
                <w:bCs/>
                <w:sz w:val="20"/>
                <w:szCs w:val="20"/>
              </w:rPr>
              <w:t>Domowej Opieki Medycznej: 1) Narodowemu Funduszowi Zdrowia, 2) Agencji Badań</w:t>
            </w:r>
            <w:r w:rsidR="00FC6C57" w:rsidRPr="001941B0">
              <w:rPr>
                <w:rFonts w:cs="Calibri"/>
                <w:bCs/>
                <w:sz w:val="20"/>
                <w:szCs w:val="20"/>
              </w:rPr>
              <w:t xml:space="preserve"> </w:t>
            </w:r>
            <w:r w:rsidRPr="001941B0">
              <w:rPr>
                <w:rFonts w:cs="Calibri"/>
                <w:bCs/>
                <w:sz w:val="20"/>
                <w:szCs w:val="20"/>
              </w:rPr>
              <w:t>Medycznych, 3) Agencji Oceny Technologii Medycznych i Taryfikacji, 4) Urzędowi</w:t>
            </w:r>
            <w:r w:rsidR="00FC6C57" w:rsidRPr="001941B0">
              <w:rPr>
                <w:rFonts w:cs="Calibri"/>
                <w:bCs/>
                <w:sz w:val="20"/>
                <w:szCs w:val="20"/>
              </w:rPr>
              <w:t xml:space="preserve"> </w:t>
            </w:r>
            <w:r w:rsidRPr="001941B0">
              <w:rPr>
                <w:rFonts w:cs="Calibri"/>
                <w:bCs/>
                <w:sz w:val="20"/>
                <w:szCs w:val="20"/>
              </w:rPr>
              <w:t xml:space="preserve">Rejestracji Produktów Leczniczych, Wyrobów Medycznych i Produktów </w:t>
            </w:r>
            <w:r w:rsidRPr="001941B0">
              <w:rPr>
                <w:rFonts w:cs="Calibri"/>
                <w:bCs/>
                <w:sz w:val="20"/>
                <w:szCs w:val="20"/>
              </w:rPr>
              <w:lastRenderedPageBreak/>
              <w:t>Biobójczych – w</w:t>
            </w:r>
            <w:r w:rsidR="003077C8" w:rsidRPr="001941B0">
              <w:rPr>
                <w:rFonts w:cs="Calibri"/>
                <w:bCs/>
                <w:sz w:val="20"/>
                <w:szCs w:val="20"/>
              </w:rPr>
              <w:t xml:space="preserve"> </w:t>
            </w:r>
            <w:r w:rsidRPr="001941B0">
              <w:rPr>
                <w:rFonts w:cs="Calibri"/>
                <w:bCs/>
                <w:sz w:val="20"/>
                <w:szCs w:val="20"/>
              </w:rPr>
              <w:t>celu monitorowania polityki zdrowotnej państwa oraz podnoszenia jakości i dostępności</w:t>
            </w:r>
            <w:r w:rsidR="003077C8" w:rsidRPr="001941B0">
              <w:rPr>
                <w:rFonts w:cs="Calibri"/>
                <w:bCs/>
                <w:sz w:val="20"/>
                <w:szCs w:val="20"/>
              </w:rPr>
              <w:t xml:space="preserve"> </w:t>
            </w:r>
            <w:r w:rsidRPr="001941B0">
              <w:rPr>
                <w:rFonts w:cs="Calibri"/>
                <w:bCs/>
                <w:sz w:val="20"/>
                <w:szCs w:val="20"/>
              </w:rPr>
              <w:t>świadczeń opieki zdrowotnej.”. W</w:t>
            </w:r>
            <w:r w:rsidR="003077C8" w:rsidRPr="001941B0">
              <w:rPr>
                <w:rFonts w:cs="Calibri"/>
                <w:bCs/>
                <w:sz w:val="20"/>
                <w:szCs w:val="20"/>
              </w:rPr>
              <w:t xml:space="preserve"> </w:t>
            </w:r>
            <w:r w:rsidRPr="001941B0">
              <w:rPr>
                <w:rFonts w:cs="Calibri"/>
                <w:bCs/>
                <w:sz w:val="20"/>
                <w:szCs w:val="20"/>
              </w:rPr>
              <w:t>omawianym przypadku będzie dochodzić dodatkowo do</w:t>
            </w:r>
            <w:r w:rsidR="003077C8" w:rsidRPr="001941B0">
              <w:rPr>
                <w:rFonts w:cs="Calibri"/>
                <w:bCs/>
                <w:sz w:val="20"/>
                <w:szCs w:val="20"/>
              </w:rPr>
              <w:t xml:space="preserve"> </w:t>
            </w:r>
            <w:r w:rsidRPr="001941B0">
              <w:rPr>
                <w:rFonts w:cs="Calibri"/>
                <w:bCs/>
                <w:sz w:val="20"/>
                <w:szCs w:val="20"/>
              </w:rPr>
              <w:t>przekazywania danych innym administratorom bez określenia trybu i zasad tego</w:t>
            </w:r>
            <w:r w:rsidR="003077C8" w:rsidRPr="001941B0">
              <w:rPr>
                <w:rFonts w:cs="Calibri"/>
                <w:bCs/>
                <w:sz w:val="20"/>
                <w:szCs w:val="20"/>
              </w:rPr>
              <w:t xml:space="preserve"> </w:t>
            </w:r>
            <w:r w:rsidRPr="001941B0">
              <w:rPr>
                <w:rFonts w:cs="Calibri"/>
                <w:bCs/>
                <w:sz w:val="20"/>
                <w:szCs w:val="20"/>
              </w:rPr>
              <w:t>udostępniania, w celach innych niż pierwotne, jak również bez określenia warunków</w:t>
            </w:r>
            <w:r w:rsidR="003077C8" w:rsidRPr="001941B0">
              <w:rPr>
                <w:rFonts w:cs="Calibri"/>
                <w:bCs/>
                <w:sz w:val="20"/>
                <w:szCs w:val="20"/>
              </w:rPr>
              <w:t xml:space="preserve"> </w:t>
            </w:r>
            <w:r w:rsidRPr="001941B0">
              <w:rPr>
                <w:rFonts w:cs="Calibri"/>
                <w:bCs/>
                <w:sz w:val="20"/>
                <w:szCs w:val="20"/>
              </w:rPr>
              <w:t>bezpieczeństwa przetwarzania danych. Należy dodatkowo wskazać, że cele</w:t>
            </w:r>
          </w:p>
          <w:p w14:paraId="03D4E0BE" w14:textId="3A166920" w:rsidR="001E1453" w:rsidRPr="001941B0" w:rsidRDefault="001E1453" w:rsidP="001E1453">
            <w:pPr>
              <w:autoSpaceDE w:val="0"/>
              <w:autoSpaceDN w:val="0"/>
              <w:adjustRightInd w:val="0"/>
              <w:spacing w:after="0" w:line="240" w:lineRule="auto"/>
              <w:rPr>
                <w:rFonts w:cs="Calibri"/>
                <w:bCs/>
                <w:sz w:val="20"/>
                <w:szCs w:val="20"/>
              </w:rPr>
            </w:pPr>
            <w:r w:rsidRPr="001941B0">
              <w:rPr>
                <w:rFonts w:cs="Calibri"/>
                <w:bCs/>
                <w:sz w:val="20"/>
                <w:szCs w:val="20"/>
              </w:rPr>
              <w:t>przetwarzania wynikające z projektowanego przepisu są bardzo ogólne oraz nie</w:t>
            </w:r>
            <w:r w:rsidR="003077C8" w:rsidRPr="001941B0">
              <w:rPr>
                <w:rFonts w:cs="Calibri"/>
                <w:bCs/>
                <w:sz w:val="20"/>
                <w:szCs w:val="20"/>
              </w:rPr>
              <w:t xml:space="preserve"> </w:t>
            </w:r>
            <w:r w:rsidRPr="001941B0">
              <w:rPr>
                <w:rFonts w:cs="Calibri"/>
                <w:bCs/>
                <w:sz w:val="20"/>
                <w:szCs w:val="20"/>
              </w:rPr>
              <w:t>mają legalnej definicji, którą powinny mieć w tym kontekście. Nie wiadomo również,</w:t>
            </w:r>
            <w:r w:rsidR="003077C8" w:rsidRPr="001941B0">
              <w:rPr>
                <w:rFonts w:cs="Calibri"/>
                <w:bCs/>
                <w:sz w:val="20"/>
                <w:szCs w:val="20"/>
              </w:rPr>
              <w:t xml:space="preserve"> </w:t>
            </w:r>
            <w:r w:rsidRPr="001941B0">
              <w:rPr>
                <w:rFonts w:cs="Calibri"/>
                <w:bCs/>
                <w:sz w:val="20"/>
                <w:szCs w:val="20"/>
              </w:rPr>
              <w:t>które dane odnoszą się do jakich podmiotów i czy będą to również dane osobowe.</w:t>
            </w:r>
            <w:r w:rsidR="003077C8" w:rsidRPr="001941B0">
              <w:rPr>
                <w:rFonts w:cs="Calibri"/>
                <w:bCs/>
                <w:sz w:val="20"/>
                <w:szCs w:val="20"/>
              </w:rPr>
              <w:t xml:space="preserve"> </w:t>
            </w:r>
            <w:r w:rsidRPr="001941B0">
              <w:rPr>
                <w:rFonts w:cs="Calibri"/>
                <w:bCs/>
                <w:sz w:val="20"/>
                <w:szCs w:val="20"/>
              </w:rPr>
              <w:t>Mocą art. 24 i 32 rozporządzenia 2016/679 nałożony jest na projektodawcę</w:t>
            </w:r>
          </w:p>
          <w:p w14:paraId="45A96D76" w14:textId="08E3413F" w:rsidR="00040FA5" w:rsidRPr="001941B0" w:rsidRDefault="001E1453" w:rsidP="001E1453">
            <w:pPr>
              <w:autoSpaceDE w:val="0"/>
              <w:autoSpaceDN w:val="0"/>
              <w:adjustRightInd w:val="0"/>
              <w:spacing w:after="0" w:line="240" w:lineRule="auto"/>
              <w:rPr>
                <w:rFonts w:cs="Calibri"/>
                <w:bCs/>
                <w:sz w:val="20"/>
                <w:szCs w:val="20"/>
              </w:rPr>
            </w:pPr>
            <w:r w:rsidRPr="001941B0">
              <w:rPr>
                <w:rFonts w:cs="Calibri"/>
                <w:bCs/>
                <w:sz w:val="20"/>
                <w:szCs w:val="20"/>
              </w:rPr>
              <w:t>obowiązek zaprojektowania takich rozwiązań prawnych, w tym trybu udostępniania i</w:t>
            </w:r>
            <w:r w:rsidR="003077C8" w:rsidRPr="001941B0">
              <w:rPr>
                <w:rFonts w:cs="Calibri"/>
                <w:bCs/>
                <w:sz w:val="20"/>
                <w:szCs w:val="20"/>
              </w:rPr>
              <w:t xml:space="preserve"> </w:t>
            </w:r>
            <w:r w:rsidRPr="001941B0">
              <w:rPr>
                <w:rFonts w:cs="Calibri"/>
                <w:bCs/>
                <w:sz w:val="20"/>
                <w:szCs w:val="20"/>
              </w:rPr>
              <w:t>pozyskiwania, które zapewnią odpowiednią ochronę danych osobowych z</w:t>
            </w:r>
            <w:r w:rsidR="003077C8" w:rsidRPr="001941B0">
              <w:rPr>
                <w:rFonts w:cs="Calibri"/>
                <w:bCs/>
                <w:sz w:val="20"/>
                <w:szCs w:val="20"/>
              </w:rPr>
              <w:t xml:space="preserve"> </w:t>
            </w:r>
            <w:r w:rsidRPr="001941B0">
              <w:rPr>
                <w:rFonts w:cs="Calibri"/>
                <w:bCs/>
                <w:sz w:val="20"/>
                <w:szCs w:val="20"/>
              </w:rPr>
              <w:t>wyeliminowaniem ryzyka dla dowolnego przetwarzania danych przez osoby</w:t>
            </w:r>
            <w:r w:rsidR="003077C8" w:rsidRPr="001941B0">
              <w:rPr>
                <w:rFonts w:cs="Calibri"/>
                <w:bCs/>
                <w:sz w:val="20"/>
                <w:szCs w:val="20"/>
              </w:rPr>
              <w:t xml:space="preserve"> </w:t>
            </w:r>
            <w:r w:rsidRPr="001941B0">
              <w:rPr>
                <w:rFonts w:cs="Calibri"/>
                <w:bCs/>
                <w:sz w:val="20"/>
                <w:szCs w:val="20"/>
              </w:rPr>
              <w:t>nieuprawnione lub niezgodnie z celem ich uzyskania (por. wyrok NSA z 3 grudnia 2021 r.,</w:t>
            </w:r>
            <w:r w:rsidR="003077C8" w:rsidRPr="001941B0">
              <w:rPr>
                <w:rFonts w:cs="Calibri"/>
                <w:bCs/>
                <w:sz w:val="20"/>
                <w:szCs w:val="20"/>
              </w:rPr>
              <w:t xml:space="preserve"> </w:t>
            </w:r>
            <w:r w:rsidRPr="001941B0">
              <w:rPr>
                <w:rFonts w:cs="Calibri"/>
                <w:bCs/>
                <w:sz w:val="20"/>
                <w:szCs w:val="20"/>
              </w:rPr>
              <w:t>III OSK 590/21)</w:t>
            </w:r>
            <w:r w:rsidR="00C91C2D" w:rsidRPr="001941B0">
              <w:rPr>
                <w:rStyle w:val="Odwoanieprzypisudolnego"/>
                <w:rFonts w:cs="Calibri"/>
                <w:bCs/>
                <w:sz w:val="20"/>
                <w:szCs w:val="20"/>
              </w:rPr>
              <w:footnoteReference w:id="16"/>
            </w:r>
          </w:p>
        </w:tc>
        <w:tc>
          <w:tcPr>
            <w:tcW w:w="2855" w:type="dxa"/>
            <w:shd w:val="clear" w:color="auto" w:fill="FFFFFF" w:themeFill="background1"/>
          </w:tcPr>
          <w:p w14:paraId="61D04C76" w14:textId="6D75ABD6" w:rsidR="00040FA5" w:rsidRPr="001941B0" w:rsidRDefault="00424CFE" w:rsidP="006E0CB2">
            <w:pPr>
              <w:autoSpaceDE w:val="0"/>
              <w:autoSpaceDN w:val="0"/>
              <w:adjustRightInd w:val="0"/>
              <w:spacing w:after="0" w:line="240" w:lineRule="auto"/>
              <w:rPr>
                <w:b/>
                <w:bCs/>
                <w:sz w:val="20"/>
                <w:szCs w:val="20"/>
              </w:rPr>
            </w:pPr>
            <w:r w:rsidRPr="001941B0">
              <w:rPr>
                <w:b/>
                <w:bCs/>
                <w:sz w:val="20"/>
                <w:szCs w:val="20"/>
              </w:rPr>
              <w:lastRenderedPageBreak/>
              <w:t xml:space="preserve">Uwaga </w:t>
            </w:r>
            <w:r w:rsidR="00E650FE" w:rsidRPr="001941B0">
              <w:rPr>
                <w:b/>
                <w:bCs/>
                <w:sz w:val="20"/>
                <w:szCs w:val="20"/>
              </w:rPr>
              <w:t xml:space="preserve">częściowo </w:t>
            </w:r>
            <w:r w:rsidRPr="001941B0">
              <w:rPr>
                <w:b/>
                <w:bCs/>
                <w:sz w:val="20"/>
                <w:szCs w:val="20"/>
              </w:rPr>
              <w:t>uwzględniona</w:t>
            </w:r>
            <w:r w:rsidR="00B22A80" w:rsidRPr="001941B0">
              <w:rPr>
                <w:b/>
                <w:bCs/>
                <w:sz w:val="20"/>
                <w:szCs w:val="20"/>
              </w:rPr>
              <w:t xml:space="preserve"> w zakresie zmiany :może przekazywać.</w:t>
            </w:r>
          </w:p>
          <w:p w14:paraId="1549C94F" w14:textId="77777777" w:rsidR="00B22A80" w:rsidRPr="001941B0" w:rsidRDefault="00B22A80" w:rsidP="006E0CB2">
            <w:pPr>
              <w:autoSpaceDE w:val="0"/>
              <w:autoSpaceDN w:val="0"/>
              <w:adjustRightInd w:val="0"/>
              <w:spacing w:after="0" w:line="240" w:lineRule="auto"/>
              <w:rPr>
                <w:b/>
                <w:bCs/>
                <w:sz w:val="20"/>
                <w:szCs w:val="20"/>
              </w:rPr>
            </w:pPr>
          </w:p>
          <w:p w14:paraId="2CB26D89" w14:textId="6C656A06" w:rsidR="0055000A" w:rsidRPr="001941B0" w:rsidRDefault="0055000A" w:rsidP="0055000A">
            <w:pPr>
              <w:autoSpaceDE w:val="0"/>
              <w:autoSpaceDN w:val="0"/>
              <w:adjustRightInd w:val="0"/>
              <w:spacing w:after="0" w:line="240" w:lineRule="auto"/>
              <w:rPr>
                <w:sz w:val="20"/>
                <w:szCs w:val="20"/>
              </w:rPr>
            </w:pPr>
            <w:r w:rsidRPr="001941B0">
              <w:rPr>
                <w:rFonts w:cstheme="minorHAnsi"/>
                <w:bCs/>
                <w:iCs/>
                <w:sz w:val="20"/>
                <w:szCs w:val="20"/>
              </w:rPr>
              <w:t>W ocenie MZ cel</w:t>
            </w:r>
            <w:r w:rsidRPr="001941B0">
              <w:rPr>
                <w:sz w:val="20"/>
                <w:szCs w:val="20"/>
              </w:rPr>
              <w:t xml:space="preserve"> umożliwiający przekazywanie danych </w:t>
            </w:r>
            <w:r w:rsidR="007D0EE5" w:rsidRPr="001941B0">
              <w:rPr>
                <w:rFonts w:ascii="Arial" w:hAnsi="Arial" w:cs="Arial"/>
                <w:color w:val="0A0A0A"/>
                <w:shd w:val="clear" w:color="auto" w:fill="FFFFFF"/>
              </w:rPr>
              <w:t xml:space="preserve"> </w:t>
            </w:r>
            <w:r w:rsidR="007D0EE5" w:rsidRPr="001941B0">
              <w:rPr>
                <w:rFonts w:cstheme="minorHAnsi"/>
                <w:bCs/>
                <w:iCs/>
                <w:sz w:val="20"/>
                <w:szCs w:val="20"/>
              </w:rPr>
              <w:t>niepseudonimizowane</w:t>
            </w:r>
          </w:p>
          <w:p w14:paraId="5420E8C6" w14:textId="77777777" w:rsidR="0055000A" w:rsidRPr="001941B0" w:rsidRDefault="0055000A" w:rsidP="0055000A">
            <w:pPr>
              <w:autoSpaceDE w:val="0"/>
              <w:autoSpaceDN w:val="0"/>
              <w:adjustRightInd w:val="0"/>
              <w:spacing w:after="0" w:line="240" w:lineRule="auto"/>
              <w:rPr>
                <w:rFonts w:cstheme="minorHAnsi"/>
                <w:bCs/>
                <w:iCs/>
                <w:sz w:val="20"/>
                <w:szCs w:val="20"/>
              </w:rPr>
            </w:pPr>
            <w:r w:rsidRPr="001941B0">
              <w:rPr>
                <w:rFonts w:cstheme="minorHAnsi"/>
                <w:bCs/>
                <w:iCs/>
                <w:sz w:val="20"/>
                <w:szCs w:val="20"/>
              </w:rPr>
              <w:t>został określony w projektowanej ustawie w sposób wystarczający.</w:t>
            </w:r>
          </w:p>
          <w:p w14:paraId="0DA99DA6" w14:textId="77777777" w:rsidR="00563901" w:rsidRPr="001941B0" w:rsidRDefault="00563901" w:rsidP="006E0CB2">
            <w:pPr>
              <w:autoSpaceDE w:val="0"/>
              <w:autoSpaceDN w:val="0"/>
              <w:adjustRightInd w:val="0"/>
              <w:spacing w:after="0" w:line="240" w:lineRule="auto"/>
              <w:rPr>
                <w:b/>
                <w:bCs/>
                <w:sz w:val="20"/>
                <w:szCs w:val="20"/>
              </w:rPr>
            </w:pPr>
          </w:p>
          <w:p w14:paraId="2FF9C2D7" w14:textId="77777777" w:rsidR="000979AD" w:rsidRPr="001941B0" w:rsidRDefault="000979AD" w:rsidP="006E0CB2">
            <w:pPr>
              <w:autoSpaceDE w:val="0"/>
              <w:autoSpaceDN w:val="0"/>
              <w:adjustRightInd w:val="0"/>
              <w:spacing w:after="0" w:line="240" w:lineRule="auto"/>
              <w:rPr>
                <w:b/>
                <w:bCs/>
                <w:sz w:val="20"/>
                <w:szCs w:val="20"/>
              </w:rPr>
            </w:pPr>
          </w:p>
          <w:p w14:paraId="58DFA777" w14:textId="77777777" w:rsidR="0055000A" w:rsidRPr="001941B0" w:rsidRDefault="0055000A" w:rsidP="000979AD">
            <w:pPr>
              <w:autoSpaceDE w:val="0"/>
              <w:autoSpaceDN w:val="0"/>
              <w:adjustRightInd w:val="0"/>
              <w:spacing w:after="0" w:line="240" w:lineRule="auto"/>
              <w:rPr>
                <w:rFonts w:cstheme="minorHAnsi"/>
                <w:bCs/>
                <w:iCs/>
                <w:sz w:val="20"/>
                <w:szCs w:val="20"/>
              </w:rPr>
            </w:pPr>
          </w:p>
          <w:p w14:paraId="0FD91529" w14:textId="3D254FCF" w:rsidR="0055000A" w:rsidRPr="001941B0" w:rsidRDefault="0055000A" w:rsidP="000979AD">
            <w:pPr>
              <w:autoSpaceDE w:val="0"/>
              <w:autoSpaceDN w:val="0"/>
              <w:adjustRightInd w:val="0"/>
              <w:spacing w:after="0" w:line="240" w:lineRule="auto"/>
              <w:rPr>
                <w:b/>
                <w:bCs/>
                <w:sz w:val="20"/>
                <w:szCs w:val="20"/>
              </w:rPr>
            </w:pPr>
          </w:p>
        </w:tc>
      </w:tr>
      <w:tr w:rsidR="00FC7212" w:rsidRPr="001941B0" w14:paraId="06B9EBBD" w14:textId="77777777" w:rsidTr="7139DBB9">
        <w:tc>
          <w:tcPr>
            <w:tcW w:w="1125" w:type="dxa"/>
            <w:shd w:val="clear" w:color="auto" w:fill="FFFFFF" w:themeFill="background1"/>
          </w:tcPr>
          <w:p w14:paraId="025DBF45" w14:textId="77777777" w:rsidR="0055000A" w:rsidRPr="001941B0" w:rsidRDefault="0055000A" w:rsidP="0055000A">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17F6CF1" w14:textId="26678D3E"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22824296" w14:textId="64A23357" w:rsidR="0055000A" w:rsidRPr="001941B0" w:rsidRDefault="005C3A59" w:rsidP="0055000A">
            <w:pPr>
              <w:autoSpaceDE w:val="0"/>
              <w:autoSpaceDN w:val="0"/>
              <w:adjustRightInd w:val="0"/>
              <w:spacing w:after="0" w:line="240" w:lineRule="auto"/>
              <w:rPr>
                <w:rFonts w:cs="Calibri"/>
                <w:b/>
                <w:bCs/>
                <w:sz w:val="20"/>
                <w:szCs w:val="20"/>
              </w:rPr>
            </w:pPr>
            <w:r>
              <w:rPr>
                <w:rFonts w:cs="Calibri"/>
                <w:sz w:val="20"/>
                <w:szCs w:val="20"/>
              </w:rPr>
              <w:t>A</w:t>
            </w:r>
            <w:r w:rsidR="0055000A" w:rsidRPr="001941B0">
              <w:rPr>
                <w:rFonts w:cs="Calibri"/>
                <w:sz w:val="20"/>
                <w:szCs w:val="20"/>
              </w:rPr>
              <w:t>rt. 5 pkt 9</w:t>
            </w:r>
          </w:p>
          <w:p w14:paraId="0A70459E" w14:textId="77777777" w:rsidR="0055000A" w:rsidRPr="001941B0" w:rsidRDefault="0055000A" w:rsidP="0055000A">
            <w:pPr>
              <w:autoSpaceDE w:val="0"/>
              <w:autoSpaceDN w:val="0"/>
              <w:adjustRightInd w:val="0"/>
              <w:spacing w:after="0" w:line="240" w:lineRule="auto"/>
              <w:rPr>
                <w:rFonts w:cs="Calibri"/>
                <w:b/>
                <w:bCs/>
                <w:sz w:val="20"/>
                <w:szCs w:val="20"/>
              </w:rPr>
            </w:pPr>
          </w:p>
          <w:p w14:paraId="70834034" w14:textId="40D25835" w:rsidR="0055000A" w:rsidRPr="001941B0" w:rsidRDefault="0055000A" w:rsidP="0055000A">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04F442D7"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11. Zgodnie z art. 11c ust. 6 ustawy o systemie informacji w ochronie zdrowia: „Minister właściwy do spraw zdrowia może przekazywać do systemu Domowej Opieki Medycznej dane, o których mowa w ust. 2, przetwarzane w innych systemach teleinformatycznych, dla których jest administratorem danych, a także może przekazywać</w:t>
            </w:r>
          </w:p>
          <w:p w14:paraId="29B4DE3D"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 xml:space="preserve">dane przetwarzane w Systemie Domowej Opieki Medycznej do innych systemów teleinformatycznych, dla których jest administratorem danych, w celu monitorowania polityki zdrowotnej państwa oraz podnoszenia jakości i dostępności świadczeń opieki zdrowotnej.”. Po pierwsze, użycie w </w:t>
            </w:r>
            <w:r w:rsidRPr="001941B0">
              <w:rPr>
                <w:rFonts w:cs="Calibri"/>
                <w:bCs/>
                <w:sz w:val="20"/>
                <w:szCs w:val="20"/>
              </w:rPr>
              <w:lastRenderedPageBreak/>
              <w:t>projektowanym przepisie sformułowania „może przekazywać” daje ministrowi właściwemu do spraw zdrowia możliwość przekazywania do systemu Domowej Opieki Medycznej danych osobowych na podstawie subiektywnej i uznaniowej decyzji, dlatego ustawowo określone powinny zostać przesłanki podjęcia takiej decyzji. Po drugie, przepis nie określa też, z których systemów teleinformatycznych miałyby być przekazywane dane, ani do których przekazywane, co wpływa na niejasność projektowanego przepisu, gdyż nie każdy rejestr publiczny, będący systemem teleinformatycznym, którego administratorem jest minister właściwy do spraw zdrowia może być klasyfikowany ustawowo jako system teleinformatyczny. Dodatkowo, ustawa o systemie informacji w ochronie zdrowia część odpowiedzialności za administrowanie systemów teleinformatycznych, których</w:t>
            </w:r>
          </w:p>
          <w:p w14:paraId="1ABEA37A"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administratorem jest Minister Zdrowia, przypisuje jednostce podległej ministrowi właściwemu do spraw zdrowia właściwej w zakresie systemów informacyjnych ochrony zdrowia, co wpływa negatywnie na przejrzystość projektowanych przepisów (jest to problem systemowy wielokrotnie sygnalizowany przez organ</w:t>
            </w:r>
          </w:p>
          <w:p w14:paraId="1E924694"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nadzorczy, nadal nie uregulowany w przepisach prawa). Ogólny cel, jakim jest monitorowanie polityki zdrowotnej państwa oraz podnoszenie jakości i dostępności świadczeń opieki zdrowotnej, nie uzasadnia w ocenie organu nadzorczego możliwości</w:t>
            </w:r>
          </w:p>
          <w:p w14:paraId="6CAA6BA3"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przekazywania do Systemu Domowej Opieki Medycznej danych niespseudonimizowanych na podstawie uznaniowej decyzji ministra (organu władzy wykonawczej).</w:t>
            </w:r>
          </w:p>
          <w:p w14:paraId="60F03E2E"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 xml:space="preserve">Konstytucyjna zasada legalizmu wymaga, aby przetwarzanie danych osobowych przez podmioty publiczne odbywało się na podstawie i w granicach przepisów prawa. Uwaga odnosi się również do procesu udostępniania danych, o którym mowa w art. 11c ust. 7 ustawy o systemie informacji w ochronie zdrowia. Zgodnie z tym przepisem: „Minister właściwy do spraw zdrowia może udostępnić dane gromadzone w systemie Domowej Opieki Medycznej: 1) Narodowemu Funduszowi </w:t>
            </w:r>
            <w:r w:rsidRPr="001941B0">
              <w:rPr>
                <w:rFonts w:cs="Calibri"/>
                <w:bCs/>
                <w:sz w:val="20"/>
                <w:szCs w:val="20"/>
              </w:rPr>
              <w:lastRenderedPageBreak/>
              <w:t>Zdrowia, 2) Agencji Badań Medycznych, 3) Agencji Oceny Technologii Medycznych i Taryfikacji, 4) Urzędowi Rejestracji Produktów Leczniczych, Wyrobów Medycznych i Produktów Biobójczych – w celu monitorowania polityki zdrowotnej państwa oraz podnoszenia jakości i dostępności świadczeń opieki zdrowotnej.”. W omawianym przypadku będzie dochodzić dodatkowo do przekazywania danych innym administratorom bez określenia trybu i zasad tego udostępniania, w celach innych niż pierwotne, jak również bez określenia warunków bezpieczeństwa przetwarzania danych. Należy dodatkowo wskazać, że cele</w:t>
            </w:r>
          </w:p>
          <w:p w14:paraId="7B8E4F30"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przetwarzania wynikające z projektowanego przepisu są bardzo ogólne oraz nie mają legalnej definicji, którą powinny mieć w tym kontekście. Nie wiadomo również, które dane odnoszą się do jakich podmiotów i czy będą to również dane osobowe. Mocą art. 24 i 32 rozporządzenia 2016/679 nałożony jest na projektodawcę</w:t>
            </w:r>
          </w:p>
          <w:p w14:paraId="68939B33" w14:textId="77777777" w:rsidR="0055000A" w:rsidRPr="001941B0" w:rsidRDefault="0055000A" w:rsidP="0055000A">
            <w:pPr>
              <w:autoSpaceDE w:val="0"/>
              <w:autoSpaceDN w:val="0"/>
              <w:adjustRightInd w:val="0"/>
              <w:spacing w:after="0" w:line="240" w:lineRule="auto"/>
              <w:rPr>
                <w:rFonts w:cs="Calibri"/>
                <w:bCs/>
                <w:sz w:val="20"/>
                <w:szCs w:val="20"/>
              </w:rPr>
            </w:pPr>
            <w:r w:rsidRPr="001941B0">
              <w:rPr>
                <w:rFonts w:cs="Calibri"/>
                <w:bCs/>
                <w:sz w:val="20"/>
                <w:szCs w:val="20"/>
              </w:rPr>
              <w:t>obowiązek zaprojektowania takich rozwiązań prawnych, w tym trybu udostępniania i pozyskiwania, które zapewnią odpowiednią ochronę danych osobowych z wyeliminowaniem ryzyka dla dowolnego przetwarzania danych przez osoby nieuprawnione lub niezgodnie z celem ich uzyskania (por. wyrok NSA z 3 grudnia 2021 r., III OSK 590/21)</w:t>
            </w:r>
            <w:r w:rsidRPr="001941B0">
              <w:rPr>
                <w:rStyle w:val="Odwoanieprzypisudolnego"/>
                <w:rFonts w:cs="Calibri"/>
                <w:bCs/>
                <w:sz w:val="20"/>
                <w:szCs w:val="20"/>
              </w:rPr>
              <w:footnoteReference w:id="17"/>
            </w:r>
          </w:p>
          <w:p w14:paraId="262CF65A" w14:textId="77777777" w:rsidR="0055000A" w:rsidRPr="001941B0" w:rsidRDefault="0055000A" w:rsidP="0055000A">
            <w:pPr>
              <w:autoSpaceDE w:val="0"/>
              <w:autoSpaceDN w:val="0"/>
              <w:adjustRightInd w:val="0"/>
              <w:spacing w:after="0" w:line="240" w:lineRule="auto"/>
              <w:rPr>
                <w:rFonts w:cs="Calibri"/>
                <w:bCs/>
                <w:sz w:val="20"/>
                <w:szCs w:val="20"/>
              </w:rPr>
            </w:pPr>
          </w:p>
          <w:p w14:paraId="035B53EF" w14:textId="77777777" w:rsidR="0055000A" w:rsidRPr="001941B0" w:rsidRDefault="0055000A" w:rsidP="0055000A">
            <w:pPr>
              <w:autoSpaceDE w:val="0"/>
              <w:autoSpaceDN w:val="0"/>
              <w:adjustRightInd w:val="0"/>
              <w:spacing w:after="0" w:line="240" w:lineRule="auto"/>
              <w:rPr>
                <w:rFonts w:eastAsiaTheme="minorEastAsia"/>
                <w:sz w:val="20"/>
                <w:szCs w:val="20"/>
              </w:rPr>
            </w:pPr>
            <w:r w:rsidRPr="001941B0">
              <w:rPr>
                <w:rFonts w:eastAsiaTheme="minorEastAsia"/>
                <w:sz w:val="20"/>
                <w:szCs w:val="20"/>
              </w:rPr>
              <w:t>12. Uwaga odnosi się analogicznie do:</w:t>
            </w:r>
          </w:p>
          <w:p w14:paraId="2AE11F6E" w14:textId="49DC0161" w:rsidR="0055000A" w:rsidRPr="001941B0" w:rsidRDefault="0055000A" w:rsidP="0055000A">
            <w:pPr>
              <w:autoSpaceDE w:val="0"/>
              <w:autoSpaceDN w:val="0"/>
              <w:adjustRightInd w:val="0"/>
              <w:spacing w:after="0" w:line="240" w:lineRule="auto"/>
              <w:rPr>
                <w:rFonts w:eastAsiaTheme="minorEastAsia"/>
                <w:sz w:val="20"/>
                <w:szCs w:val="20"/>
              </w:rPr>
            </w:pPr>
            <w:r w:rsidRPr="001941B0">
              <w:rPr>
                <w:rFonts w:eastAsiaTheme="minorEastAsia"/>
                <w:sz w:val="20"/>
                <w:szCs w:val="20"/>
              </w:rPr>
              <w:t>- art. 11d ust. 8 i 9 ustawy o systemie informacji w ochronie zdrowia w zakresie sytemu e-Konsylium,</w:t>
            </w:r>
          </w:p>
          <w:p w14:paraId="4EDF249A" w14:textId="22A7861A" w:rsidR="0055000A" w:rsidRPr="001941B0" w:rsidRDefault="0055000A" w:rsidP="0055000A">
            <w:pPr>
              <w:autoSpaceDE w:val="0"/>
              <w:autoSpaceDN w:val="0"/>
              <w:adjustRightInd w:val="0"/>
              <w:spacing w:after="0" w:line="240" w:lineRule="auto"/>
              <w:rPr>
                <w:rFonts w:eastAsiaTheme="minorEastAsia"/>
                <w:sz w:val="20"/>
                <w:szCs w:val="20"/>
              </w:rPr>
            </w:pPr>
            <w:r w:rsidRPr="001941B0">
              <w:rPr>
                <w:rFonts w:eastAsiaTheme="minorEastAsia"/>
                <w:sz w:val="20"/>
                <w:szCs w:val="20"/>
              </w:rPr>
              <w:t>- art. 31d ust. 7 oraz ustawy o systemie informacji w ochronie zdrowia w zakresie Platformy Usług Inteligentnych.</w:t>
            </w:r>
          </w:p>
          <w:p w14:paraId="53586BC0" w14:textId="3A5348CF" w:rsidR="0055000A" w:rsidRPr="001941B0" w:rsidRDefault="0055000A" w:rsidP="0055000A">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Wyjaśnienie i uregulowanie tych kwestii jest konieczne dla zachowania zasady zgodności z prawem, rzetelności i przejrzystości, ograniczenia celu, minimalizacji danych,</w:t>
            </w:r>
          </w:p>
          <w:p w14:paraId="7642F5E3" w14:textId="022A8D0E" w:rsidR="0055000A" w:rsidRPr="001941B0" w:rsidRDefault="0055000A" w:rsidP="0055000A">
            <w:pPr>
              <w:autoSpaceDE w:val="0"/>
              <w:autoSpaceDN w:val="0"/>
              <w:adjustRightInd w:val="0"/>
              <w:spacing w:after="0" w:line="240" w:lineRule="auto"/>
              <w:rPr>
                <w:rFonts w:eastAsiaTheme="minorEastAsia"/>
                <w:b/>
                <w:bCs/>
                <w:sz w:val="20"/>
                <w:szCs w:val="20"/>
              </w:rPr>
            </w:pPr>
            <w:r w:rsidRPr="001941B0">
              <w:rPr>
                <w:rFonts w:eastAsiaTheme="minorEastAsia"/>
                <w:sz w:val="20"/>
                <w:szCs w:val="20"/>
              </w:rPr>
              <w:t>poufności i integralności oraz rozliczalności.</w:t>
            </w:r>
          </w:p>
        </w:tc>
        <w:tc>
          <w:tcPr>
            <w:tcW w:w="2855" w:type="dxa"/>
            <w:shd w:val="clear" w:color="auto" w:fill="FFFFFF" w:themeFill="background1"/>
          </w:tcPr>
          <w:p w14:paraId="76F35A5A" w14:textId="77777777" w:rsidR="0055000A" w:rsidRPr="001941B0" w:rsidRDefault="0055000A" w:rsidP="0055000A">
            <w:pPr>
              <w:autoSpaceDE w:val="0"/>
              <w:autoSpaceDN w:val="0"/>
              <w:adjustRightInd w:val="0"/>
              <w:spacing w:after="0" w:line="240" w:lineRule="auto"/>
              <w:rPr>
                <w:b/>
                <w:bCs/>
                <w:sz w:val="20"/>
                <w:szCs w:val="20"/>
              </w:rPr>
            </w:pPr>
            <w:r w:rsidRPr="001941B0">
              <w:rPr>
                <w:b/>
                <w:bCs/>
                <w:sz w:val="20"/>
                <w:szCs w:val="20"/>
              </w:rPr>
              <w:lastRenderedPageBreak/>
              <w:t>Uwaga częściowo uwzględniona</w:t>
            </w:r>
          </w:p>
          <w:p w14:paraId="7DF47ABF" w14:textId="77777777" w:rsidR="0055000A" w:rsidRPr="001941B0" w:rsidRDefault="0055000A" w:rsidP="0055000A">
            <w:pPr>
              <w:autoSpaceDE w:val="0"/>
              <w:autoSpaceDN w:val="0"/>
              <w:adjustRightInd w:val="0"/>
              <w:spacing w:after="0" w:line="240" w:lineRule="auto"/>
              <w:rPr>
                <w:sz w:val="20"/>
                <w:szCs w:val="20"/>
              </w:rPr>
            </w:pPr>
            <w:r w:rsidRPr="001941B0">
              <w:rPr>
                <w:rFonts w:cstheme="minorHAnsi"/>
                <w:bCs/>
                <w:iCs/>
                <w:sz w:val="20"/>
                <w:szCs w:val="20"/>
              </w:rPr>
              <w:t>W ocenie MZ cel</w:t>
            </w:r>
            <w:r w:rsidRPr="001941B0">
              <w:rPr>
                <w:sz w:val="20"/>
                <w:szCs w:val="20"/>
              </w:rPr>
              <w:t xml:space="preserve"> umożliwiający przekazywanie danych </w:t>
            </w:r>
            <w:r w:rsidRPr="001941B0">
              <w:rPr>
                <w:rFonts w:cstheme="minorHAnsi"/>
                <w:bCs/>
                <w:iCs/>
                <w:sz w:val="20"/>
                <w:szCs w:val="20"/>
              </w:rPr>
              <w:t>niespseudonimizowanych</w:t>
            </w:r>
          </w:p>
          <w:p w14:paraId="2715F1E4" w14:textId="77777777" w:rsidR="0055000A" w:rsidRPr="001941B0" w:rsidRDefault="0055000A" w:rsidP="0055000A">
            <w:pPr>
              <w:autoSpaceDE w:val="0"/>
              <w:autoSpaceDN w:val="0"/>
              <w:adjustRightInd w:val="0"/>
              <w:spacing w:after="0" w:line="240" w:lineRule="auto"/>
              <w:rPr>
                <w:rFonts w:cstheme="minorHAnsi"/>
                <w:bCs/>
                <w:iCs/>
                <w:sz w:val="20"/>
                <w:szCs w:val="20"/>
              </w:rPr>
            </w:pPr>
            <w:r w:rsidRPr="001941B0">
              <w:rPr>
                <w:rFonts w:cstheme="minorHAnsi"/>
                <w:bCs/>
                <w:iCs/>
                <w:sz w:val="20"/>
                <w:szCs w:val="20"/>
              </w:rPr>
              <w:t>został określony w projektowanej ustawie w sposób wystarczający.</w:t>
            </w:r>
          </w:p>
          <w:p w14:paraId="70DE3111" w14:textId="77777777" w:rsidR="0055000A" w:rsidRPr="001941B0" w:rsidRDefault="0055000A" w:rsidP="0055000A">
            <w:pPr>
              <w:autoSpaceDE w:val="0"/>
              <w:autoSpaceDN w:val="0"/>
              <w:adjustRightInd w:val="0"/>
              <w:spacing w:after="0" w:line="240" w:lineRule="auto"/>
              <w:rPr>
                <w:b/>
                <w:bCs/>
                <w:sz w:val="20"/>
                <w:szCs w:val="20"/>
              </w:rPr>
            </w:pPr>
          </w:p>
          <w:p w14:paraId="761E0BA3" w14:textId="77777777" w:rsidR="0055000A" w:rsidRPr="001941B0" w:rsidRDefault="0055000A" w:rsidP="0055000A">
            <w:pPr>
              <w:autoSpaceDE w:val="0"/>
              <w:autoSpaceDN w:val="0"/>
              <w:adjustRightInd w:val="0"/>
              <w:spacing w:after="0" w:line="240" w:lineRule="auto"/>
              <w:rPr>
                <w:rFonts w:cstheme="minorHAnsi"/>
                <w:bCs/>
                <w:iCs/>
                <w:sz w:val="20"/>
                <w:szCs w:val="20"/>
              </w:rPr>
            </w:pPr>
          </w:p>
          <w:p w14:paraId="01DFEDFE" w14:textId="54F6CB4F" w:rsidR="0055000A" w:rsidRPr="001941B0" w:rsidRDefault="0055000A" w:rsidP="0055000A">
            <w:pPr>
              <w:autoSpaceDE w:val="0"/>
              <w:autoSpaceDN w:val="0"/>
              <w:adjustRightInd w:val="0"/>
              <w:spacing w:after="0" w:line="240" w:lineRule="auto"/>
              <w:rPr>
                <w:rFonts w:cstheme="minorHAnsi"/>
                <w:bCs/>
                <w:iCs/>
                <w:sz w:val="20"/>
                <w:szCs w:val="20"/>
              </w:rPr>
            </w:pPr>
          </w:p>
        </w:tc>
      </w:tr>
      <w:tr w:rsidR="00FC7212" w:rsidRPr="001941B0" w14:paraId="612C7ED5" w14:textId="77777777" w:rsidTr="7139DBB9">
        <w:tc>
          <w:tcPr>
            <w:tcW w:w="1125" w:type="dxa"/>
            <w:shd w:val="clear" w:color="auto" w:fill="FFFFFF" w:themeFill="background1"/>
          </w:tcPr>
          <w:p w14:paraId="482382FF"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5653D97" w14:textId="7BCD9943" w:rsidR="00F33F0D" w:rsidRPr="001941B0" w:rsidRDefault="00150978"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5F8ACED8" w14:textId="3409229D" w:rsidR="00F33F0D" w:rsidRPr="001941B0" w:rsidRDefault="005C3A59" w:rsidP="00F33F0D">
            <w:pPr>
              <w:autoSpaceDE w:val="0"/>
              <w:autoSpaceDN w:val="0"/>
              <w:adjustRightInd w:val="0"/>
              <w:spacing w:after="0" w:line="240" w:lineRule="auto"/>
              <w:rPr>
                <w:rFonts w:cs="Calibri"/>
                <w:b/>
                <w:bCs/>
                <w:sz w:val="20"/>
                <w:szCs w:val="20"/>
              </w:rPr>
            </w:pPr>
            <w:r>
              <w:rPr>
                <w:rFonts w:cs="Calibri"/>
                <w:sz w:val="20"/>
                <w:szCs w:val="20"/>
              </w:rPr>
              <w:t>A</w:t>
            </w:r>
            <w:r w:rsidR="00150978" w:rsidRPr="001941B0">
              <w:rPr>
                <w:rFonts w:cs="Calibri"/>
                <w:sz w:val="20"/>
                <w:szCs w:val="20"/>
              </w:rPr>
              <w:t xml:space="preserve">rt. 5 pkt 9 </w:t>
            </w:r>
          </w:p>
          <w:p w14:paraId="62F006F6" w14:textId="77777777" w:rsidR="008111DB" w:rsidRPr="001941B0" w:rsidRDefault="008111DB" w:rsidP="00F33F0D">
            <w:pPr>
              <w:autoSpaceDE w:val="0"/>
              <w:autoSpaceDN w:val="0"/>
              <w:adjustRightInd w:val="0"/>
              <w:spacing w:after="0" w:line="240" w:lineRule="auto"/>
              <w:rPr>
                <w:rFonts w:cs="Calibri"/>
                <w:b/>
                <w:bCs/>
                <w:sz w:val="20"/>
                <w:szCs w:val="20"/>
              </w:rPr>
            </w:pPr>
          </w:p>
          <w:p w14:paraId="67F8923C" w14:textId="42171C42" w:rsidR="00F33F0D" w:rsidRPr="001941B0" w:rsidRDefault="00F33F0D" w:rsidP="00F33F0D">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5C4EFE9A" w14:textId="41A18652" w:rsidR="00C635BA" w:rsidRPr="001941B0" w:rsidRDefault="00C635BA" w:rsidP="00C635BA">
            <w:pPr>
              <w:autoSpaceDE w:val="0"/>
              <w:autoSpaceDN w:val="0"/>
              <w:adjustRightInd w:val="0"/>
              <w:spacing w:after="0" w:line="240" w:lineRule="auto"/>
              <w:rPr>
                <w:rFonts w:eastAsiaTheme="minorEastAsia"/>
                <w:sz w:val="20"/>
                <w:szCs w:val="20"/>
              </w:rPr>
            </w:pPr>
            <w:r w:rsidRPr="001941B0">
              <w:rPr>
                <w:rFonts w:eastAsiaTheme="minorEastAsia"/>
                <w:sz w:val="20"/>
                <w:szCs w:val="20"/>
              </w:rPr>
              <w:t>13. Na podstawie art. 11d ust. 1 ustawy o systemie informacji w ochronie zdrowia</w:t>
            </w:r>
            <w:r w:rsidR="008A0990" w:rsidRPr="001941B0">
              <w:rPr>
                <w:rFonts w:eastAsiaTheme="minorEastAsia"/>
                <w:sz w:val="20"/>
                <w:szCs w:val="20"/>
              </w:rPr>
              <w:t xml:space="preserve"> </w:t>
            </w:r>
            <w:r w:rsidRPr="001941B0">
              <w:rPr>
                <w:rFonts w:eastAsiaTheme="minorEastAsia"/>
                <w:sz w:val="20"/>
                <w:szCs w:val="20"/>
              </w:rPr>
              <w:t>zostanie utworzony system e-Konsylium, który „(…) stanowi moduł SIM umożliwiający</w:t>
            </w:r>
            <w:r w:rsidR="008A0990" w:rsidRPr="001941B0">
              <w:rPr>
                <w:rFonts w:eastAsiaTheme="minorEastAsia"/>
                <w:sz w:val="20"/>
                <w:szCs w:val="20"/>
              </w:rPr>
              <w:t xml:space="preserve"> </w:t>
            </w:r>
            <w:r w:rsidRPr="001941B0">
              <w:rPr>
                <w:rFonts w:eastAsiaTheme="minorEastAsia"/>
                <w:sz w:val="20"/>
                <w:szCs w:val="20"/>
              </w:rPr>
              <w:t>przeprowadzanie na wniosek usługodawcy udzielającego świadczeń finansowanych ze</w:t>
            </w:r>
            <w:r w:rsidR="008A0990" w:rsidRPr="001941B0">
              <w:rPr>
                <w:rFonts w:eastAsiaTheme="minorEastAsia"/>
                <w:sz w:val="20"/>
                <w:szCs w:val="20"/>
              </w:rPr>
              <w:t xml:space="preserve"> </w:t>
            </w:r>
            <w:r w:rsidRPr="001941B0">
              <w:rPr>
                <w:rFonts w:eastAsiaTheme="minorEastAsia"/>
                <w:sz w:val="20"/>
                <w:szCs w:val="20"/>
              </w:rPr>
              <w:t>środków publicznych konsultacji medycznych z innymi usługodawcami, za pośrednictwem</w:t>
            </w:r>
            <w:r w:rsidR="00CF0E5C" w:rsidRPr="001941B0">
              <w:rPr>
                <w:rFonts w:eastAsiaTheme="minorEastAsia"/>
                <w:sz w:val="20"/>
                <w:szCs w:val="20"/>
              </w:rPr>
              <w:t xml:space="preserve"> </w:t>
            </w:r>
            <w:r w:rsidRPr="001941B0">
              <w:rPr>
                <w:rFonts w:eastAsiaTheme="minorEastAsia"/>
                <w:sz w:val="20"/>
                <w:szCs w:val="20"/>
              </w:rPr>
              <w:t>systemów</w:t>
            </w:r>
            <w:r w:rsidR="00CF0E5C" w:rsidRPr="001941B0">
              <w:rPr>
                <w:rFonts w:eastAsiaTheme="minorEastAsia"/>
                <w:sz w:val="20"/>
                <w:szCs w:val="20"/>
              </w:rPr>
              <w:t xml:space="preserve"> </w:t>
            </w:r>
            <w:r w:rsidRPr="001941B0">
              <w:rPr>
                <w:rFonts w:eastAsiaTheme="minorEastAsia"/>
                <w:sz w:val="20"/>
                <w:szCs w:val="20"/>
              </w:rPr>
              <w:t>teleinformatycznych lub systemów łączności , w celu orzekania o stanie zdrowia</w:t>
            </w:r>
            <w:r w:rsidR="008A0990" w:rsidRPr="001941B0">
              <w:rPr>
                <w:rFonts w:eastAsiaTheme="minorEastAsia"/>
                <w:sz w:val="20"/>
                <w:szCs w:val="20"/>
              </w:rPr>
              <w:t xml:space="preserve"> </w:t>
            </w:r>
            <w:r w:rsidRPr="001941B0">
              <w:rPr>
                <w:rFonts w:eastAsiaTheme="minorEastAsia"/>
                <w:sz w:val="20"/>
                <w:szCs w:val="20"/>
              </w:rPr>
              <w:t>usługobiorcy w ramach udzielania mu świadczeń opieki zdrowotnej przez wnioskującego</w:t>
            </w:r>
            <w:r w:rsidR="008A0990" w:rsidRPr="001941B0">
              <w:rPr>
                <w:rFonts w:eastAsiaTheme="minorEastAsia"/>
                <w:sz w:val="20"/>
                <w:szCs w:val="20"/>
              </w:rPr>
              <w:t xml:space="preserve"> </w:t>
            </w:r>
            <w:r w:rsidRPr="001941B0">
              <w:rPr>
                <w:rFonts w:eastAsiaTheme="minorEastAsia"/>
                <w:sz w:val="20"/>
                <w:szCs w:val="20"/>
              </w:rPr>
              <w:t>usługodawcę.”. Art. 11d ust. 2 ustawy o systemie informacji w ochronie zdrowia stanowi</w:t>
            </w:r>
            <w:r w:rsidR="00AE4443" w:rsidRPr="001941B0">
              <w:rPr>
                <w:rFonts w:eastAsiaTheme="minorEastAsia"/>
                <w:sz w:val="20"/>
                <w:szCs w:val="20"/>
              </w:rPr>
              <w:t xml:space="preserve"> </w:t>
            </w:r>
            <w:r w:rsidRPr="001941B0">
              <w:rPr>
                <w:rFonts w:eastAsiaTheme="minorEastAsia"/>
                <w:sz w:val="20"/>
                <w:szCs w:val="20"/>
              </w:rPr>
              <w:t>zaś, że „Minister właściwy do spraw zdrowia określi, w drodze rozporządzenia,</w:t>
            </w:r>
            <w:r w:rsidR="008A0990" w:rsidRPr="001941B0">
              <w:rPr>
                <w:rFonts w:eastAsiaTheme="minorEastAsia"/>
                <w:sz w:val="20"/>
                <w:szCs w:val="20"/>
              </w:rPr>
              <w:t xml:space="preserve"> </w:t>
            </w:r>
            <w:r w:rsidRPr="001941B0">
              <w:rPr>
                <w:rFonts w:eastAsiaTheme="minorEastAsia"/>
                <w:sz w:val="20"/>
                <w:szCs w:val="20"/>
              </w:rPr>
              <w:t>świadczenia opieki zdrowotnej, w ramach których możliwe jest przeprowadzanie</w:t>
            </w:r>
            <w:r w:rsidR="008A0990" w:rsidRPr="001941B0">
              <w:rPr>
                <w:rFonts w:eastAsiaTheme="minorEastAsia"/>
                <w:sz w:val="20"/>
                <w:szCs w:val="20"/>
              </w:rPr>
              <w:t xml:space="preserve"> </w:t>
            </w:r>
            <w:r w:rsidRPr="001941B0">
              <w:rPr>
                <w:rFonts w:eastAsiaTheme="minorEastAsia"/>
                <w:sz w:val="20"/>
                <w:szCs w:val="20"/>
              </w:rPr>
              <w:t>konsultacji medycznych w systemie e-Konsylium, mając na uwadze zagwarantowanie</w:t>
            </w:r>
          </w:p>
          <w:p w14:paraId="1E276732" w14:textId="010943D0" w:rsidR="00C635BA" w:rsidRPr="001941B0" w:rsidRDefault="00C635BA" w:rsidP="00C635BA">
            <w:pPr>
              <w:autoSpaceDE w:val="0"/>
              <w:autoSpaceDN w:val="0"/>
              <w:adjustRightInd w:val="0"/>
              <w:spacing w:after="0" w:line="240" w:lineRule="auto"/>
              <w:rPr>
                <w:rFonts w:eastAsiaTheme="minorEastAsia"/>
                <w:sz w:val="20"/>
                <w:szCs w:val="20"/>
              </w:rPr>
            </w:pPr>
            <w:r w:rsidRPr="001941B0">
              <w:rPr>
                <w:rFonts w:eastAsiaTheme="minorEastAsia"/>
                <w:sz w:val="20"/>
                <w:szCs w:val="20"/>
              </w:rPr>
              <w:t>dostępu do świadczeń opieki zdrowotnej, zapewnienie bezpieczeństwa i integralności</w:t>
            </w:r>
            <w:r w:rsidR="008A0990" w:rsidRPr="001941B0">
              <w:rPr>
                <w:rFonts w:eastAsiaTheme="minorEastAsia"/>
                <w:sz w:val="20"/>
                <w:szCs w:val="20"/>
              </w:rPr>
              <w:t xml:space="preserve"> </w:t>
            </w:r>
            <w:r w:rsidRPr="001941B0">
              <w:rPr>
                <w:rFonts w:eastAsiaTheme="minorEastAsia"/>
                <w:sz w:val="20"/>
                <w:szCs w:val="20"/>
              </w:rPr>
              <w:t>danych przetwarzanych w celu przeprowadzania konsultacji medycznych oraz specyfikę</w:t>
            </w:r>
          </w:p>
          <w:p w14:paraId="173D5AC1" w14:textId="2AE63F2A" w:rsidR="00AE4443" w:rsidRPr="001941B0" w:rsidRDefault="00C635BA" w:rsidP="00AE4443">
            <w:pPr>
              <w:autoSpaceDE w:val="0"/>
              <w:autoSpaceDN w:val="0"/>
              <w:adjustRightInd w:val="0"/>
              <w:spacing w:after="0" w:line="240" w:lineRule="auto"/>
              <w:rPr>
                <w:rFonts w:eastAsiaTheme="minorEastAsia"/>
                <w:sz w:val="20"/>
                <w:szCs w:val="20"/>
              </w:rPr>
            </w:pPr>
            <w:r w:rsidRPr="001941B0">
              <w:rPr>
                <w:rFonts w:eastAsiaTheme="minorEastAsia"/>
                <w:sz w:val="20"/>
                <w:szCs w:val="20"/>
              </w:rPr>
              <w:t>realizacji świadczeń opieki zdrowotnej, w których możliwe jest przeprowadzenie</w:t>
            </w:r>
            <w:r w:rsidR="008A0990" w:rsidRPr="001941B0">
              <w:rPr>
                <w:rFonts w:eastAsiaTheme="minorEastAsia"/>
                <w:sz w:val="20"/>
                <w:szCs w:val="20"/>
              </w:rPr>
              <w:t xml:space="preserve"> </w:t>
            </w:r>
            <w:r w:rsidRPr="001941B0">
              <w:rPr>
                <w:rFonts w:eastAsiaTheme="minorEastAsia"/>
                <w:sz w:val="20"/>
                <w:szCs w:val="20"/>
              </w:rPr>
              <w:t>konsultacji za pośrednictwem systemów teleinformatycznych lub systemów łączności.”.</w:t>
            </w:r>
            <w:r w:rsidR="008A0990" w:rsidRPr="001941B0">
              <w:rPr>
                <w:rFonts w:eastAsiaTheme="minorEastAsia"/>
                <w:sz w:val="20"/>
                <w:szCs w:val="20"/>
              </w:rPr>
              <w:t xml:space="preserve"> </w:t>
            </w:r>
            <w:r w:rsidRPr="001941B0">
              <w:rPr>
                <w:rFonts w:eastAsiaTheme="minorEastAsia"/>
                <w:sz w:val="20"/>
                <w:szCs w:val="20"/>
              </w:rPr>
              <w:t>Biorąc pod uwagę fakt, że z użyciem systemu e-Konsylium będzie przetwarzany</w:t>
            </w:r>
            <w:r w:rsidR="008A0990" w:rsidRPr="001941B0">
              <w:rPr>
                <w:rFonts w:eastAsiaTheme="minorEastAsia"/>
                <w:sz w:val="20"/>
                <w:szCs w:val="20"/>
              </w:rPr>
              <w:t xml:space="preserve"> </w:t>
            </w:r>
            <w:r w:rsidRPr="001941B0">
              <w:rPr>
                <w:rFonts w:eastAsiaTheme="minorEastAsia"/>
                <w:sz w:val="20"/>
                <w:szCs w:val="20"/>
              </w:rPr>
              <w:t>szereg danych medycznych oraz że dane te będą zawarte w nagraniach dźwięku z</w:t>
            </w:r>
            <w:r w:rsidR="008A0990" w:rsidRPr="001941B0">
              <w:rPr>
                <w:rFonts w:eastAsiaTheme="minorEastAsia"/>
                <w:sz w:val="20"/>
                <w:szCs w:val="20"/>
              </w:rPr>
              <w:t xml:space="preserve"> </w:t>
            </w:r>
            <w:r w:rsidRPr="001941B0">
              <w:rPr>
                <w:rFonts w:eastAsiaTheme="minorEastAsia"/>
                <w:sz w:val="20"/>
                <w:szCs w:val="20"/>
              </w:rPr>
              <w:t>przeprowadzonych konsultacji, organ nadzorczy wskazuje, że projektowana ustawa</w:t>
            </w:r>
            <w:r w:rsidR="008A0990" w:rsidRPr="001941B0">
              <w:rPr>
                <w:rFonts w:eastAsiaTheme="minorEastAsia"/>
                <w:sz w:val="20"/>
                <w:szCs w:val="20"/>
              </w:rPr>
              <w:t xml:space="preserve"> </w:t>
            </w:r>
            <w:r w:rsidRPr="001941B0">
              <w:rPr>
                <w:rFonts w:eastAsiaTheme="minorEastAsia"/>
                <w:sz w:val="20"/>
                <w:szCs w:val="20"/>
              </w:rPr>
              <w:t>powinna określać sposób realizacji świadczeń opieki zdrowotnej za pośrednictwem</w:t>
            </w:r>
            <w:r w:rsidR="008A0990" w:rsidRPr="001941B0">
              <w:rPr>
                <w:rFonts w:eastAsiaTheme="minorEastAsia"/>
                <w:sz w:val="20"/>
                <w:szCs w:val="20"/>
              </w:rPr>
              <w:t xml:space="preserve"> </w:t>
            </w:r>
            <w:r w:rsidRPr="001941B0">
              <w:rPr>
                <w:rFonts w:eastAsiaTheme="minorEastAsia"/>
                <w:sz w:val="20"/>
                <w:szCs w:val="20"/>
              </w:rPr>
              <w:t>tego systemu, jak również doprecyzować jego funkcjonalności, ze szczególnym</w:t>
            </w:r>
            <w:r w:rsidR="00AE4443" w:rsidRPr="001941B0">
              <w:rPr>
                <w:rFonts w:eastAsiaTheme="minorEastAsia"/>
                <w:sz w:val="20"/>
                <w:szCs w:val="20"/>
              </w:rPr>
              <w:t xml:space="preserve"> </w:t>
            </w:r>
            <w:r w:rsidR="00AE4443" w:rsidRPr="001941B0">
              <w:rPr>
                <w:rFonts w:cs="ArialMT"/>
                <w:kern w:val="0"/>
                <w:sz w:val="24"/>
                <w:szCs w:val="24"/>
              </w:rPr>
              <w:t xml:space="preserve"> </w:t>
            </w:r>
            <w:r w:rsidR="00AE4443" w:rsidRPr="001941B0">
              <w:rPr>
                <w:rFonts w:eastAsiaTheme="minorEastAsia"/>
                <w:sz w:val="20"/>
                <w:szCs w:val="20"/>
              </w:rPr>
              <w:t>uwzględnieniem warunków bezpieczeństwa przetwarzania danych, celów przetwarzania oraz środków ochrony praw, wolności i prawnie uzasadnionych interesów podmiotów</w:t>
            </w:r>
          </w:p>
          <w:p w14:paraId="6FBE4A8D" w14:textId="45F7EEF7" w:rsidR="00617EE7" w:rsidRPr="001941B0" w:rsidRDefault="00AE4443" w:rsidP="00617EE7">
            <w:pPr>
              <w:autoSpaceDE w:val="0"/>
              <w:autoSpaceDN w:val="0"/>
              <w:adjustRightInd w:val="0"/>
              <w:spacing w:after="0" w:line="240" w:lineRule="auto"/>
              <w:rPr>
                <w:rFonts w:eastAsiaTheme="minorEastAsia"/>
                <w:b/>
                <w:bCs/>
                <w:sz w:val="20"/>
                <w:szCs w:val="20"/>
              </w:rPr>
            </w:pPr>
            <w:r w:rsidRPr="001941B0">
              <w:rPr>
                <w:rFonts w:eastAsiaTheme="minorEastAsia"/>
                <w:sz w:val="20"/>
                <w:szCs w:val="20"/>
              </w:rPr>
              <w:lastRenderedPageBreak/>
              <w:t>danych.</w:t>
            </w:r>
            <w:r w:rsidR="00617EE7" w:rsidRPr="001941B0">
              <w:rPr>
                <w:rFonts w:eastAsiaTheme="minorEastAsia"/>
                <w:sz w:val="20"/>
                <w:szCs w:val="20"/>
              </w:rPr>
              <w:t xml:space="preserve"> </w:t>
            </w:r>
            <w:r w:rsidR="00617EE7" w:rsidRPr="001941B0">
              <w:rPr>
                <w:rFonts w:cs="ArialMT"/>
                <w:kern w:val="0"/>
                <w:sz w:val="24"/>
                <w:szCs w:val="24"/>
              </w:rPr>
              <w:t xml:space="preserve"> </w:t>
            </w:r>
            <w:r w:rsidR="00617EE7" w:rsidRPr="001941B0">
              <w:rPr>
                <w:rFonts w:eastAsiaTheme="minorEastAsia"/>
                <w:sz w:val="20"/>
                <w:szCs w:val="20"/>
              </w:rPr>
              <w:t xml:space="preserve">Materia ta powinna zostać poddana analizie w </w:t>
            </w:r>
            <w:r w:rsidR="00617EE7" w:rsidRPr="001941B0">
              <w:rPr>
                <w:rFonts w:eastAsiaTheme="minorEastAsia"/>
                <w:b/>
                <w:bCs/>
                <w:sz w:val="20"/>
                <w:szCs w:val="20"/>
              </w:rPr>
              <w:t>ocenie skutków dla ochrony</w:t>
            </w:r>
            <w:r w:rsidR="009171E8" w:rsidRPr="001941B0">
              <w:rPr>
                <w:rFonts w:eastAsiaTheme="minorEastAsia"/>
                <w:b/>
                <w:bCs/>
                <w:sz w:val="20"/>
                <w:szCs w:val="20"/>
              </w:rPr>
              <w:t xml:space="preserve"> </w:t>
            </w:r>
            <w:r w:rsidR="00617EE7" w:rsidRPr="001941B0">
              <w:rPr>
                <w:rFonts w:eastAsiaTheme="minorEastAsia"/>
                <w:b/>
                <w:bCs/>
                <w:sz w:val="20"/>
                <w:szCs w:val="20"/>
              </w:rPr>
              <w:t>danych</w:t>
            </w:r>
            <w:r w:rsidR="00617EE7" w:rsidRPr="001941B0">
              <w:rPr>
                <w:rFonts w:eastAsiaTheme="minorEastAsia"/>
                <w:sz w:val="20"/>
                <w:szCs w:val="20"/>
              </w:rPr>
              <w:t xml:space="preserve">, w szczególności dotyczy to </w:t>
            </w:r>
            <w:r w:rsidR="00617EE7" w:rsidRPr="001941B0">
              <w:rPr>
                <w:rFonts w:eastAsiaTheme="minorEastAsia"/>
                <w:b/>
                <w:bCs/>
                <w:sz w:val="20"/>
                <w:szCs w:val="20"/>
              </w:rPr>
              <w:t xml:space="preserve">okresu przechowywania danych </w:t>
            </w:r>
            <w:r w:rsidR="00617EE7" w:rsidRPr="001941B0">
              <w:rPr>
                <w:rFonts w:eastAsiaTheme="minorEastAsia"/>
                <w:sz w:val="20"/>
                <w:szCs w:val="20"/>
              </w:rPr>
              <w:t xml:space="preserve">określonego </w:t>
            </w:r>
            <w:r w:rsidR="00617EE7" w:rsidRPr="001941B0">
              <w:rPr>
                <w:rFonts w:eastAsiaTheme="minorEastAsia"/>
                <w:b/>
                <w:bCs/>
                <w:sz w:val="20"/>
                <w:szCs w:val="20"/>
              </w:rPr>
              <w:t>art.</w:t>
            </w:r>
            <w:r w:rsidR="009171E8" w:rsidRPr="001941B0">
              <w:rPr>
                <w:rFonts w:eastAsiaTheme="minorEastAsia"/>
                <w:b/>
                <w:bCs/>
                <w:sz w:val="20"/>
                <w:szCs w:val="20"/>
              </w:rPr>
              <w:t xml:space="preserve"> </w:t>
            </w:r>
            <w:r w:rsidR="00617EE7" w:rsidRPr="001941B0">
              <w:rPr>
                <w:rFonts w:eastAsiaTheme="minorEastAsia"/>
                <w:b/>
                <w:bCs/>
                <w:sz w:val="20"/>
                <w:szCs w:val="20"/>
              </w:rPr>
              <w:t>11d ust. 5 pkt 1 i 2</w:t>
            </w:r>
            <w:r w:rsidR="00617EE7" w:rsidRPr="001941B0">
              <w:rPr>
                <w:rFonts w:eastAsiaTheme="minorEastAsia"/>
                <w:sz w:val="20"/>
                <w:szCs w:val="20"/>
              </w:rPr>
              <w:t>, gdyż planowane jest, że nagrania dźwięku będą przechowywane w</w:t>
            </w:r>
          </w:p>
          <w:p w14:paraId="7338D37C" w14:textId="65ED7F8A" w:rsidR="00617EE7" w:rsidRPr="001941B0" w:rsidRDefault="00617EE7" w:rsidP="00617EE7">
            <w:pPr>
              <w:autoSpaceDE w:val="0"/>
              <w:autoSpaceDN w:val="0"/>
              <w:adjustRightInd w:val="0"/>
              <w:spacing w:after="0" w:line="240" w:lineRule="auto"/>
              <w:rPr>
                <w:rFonts w:eastAsiaTheme="minorEastAsia"/>
                <w:sz w:val="20"/>
                <w:szCs w:val="20"/>
              </w:rPr>
            </w:pPr>
            <w:r w:rsidRPr="001941B0">
              <w:rPr>
                <w:rFonts w:eastAsiaTheme="minorEastAsia"/>
                <w:sz w:val="20"/>
                <w:szCs w:val="20"/>
              </w:rPr>
              <w:t>systemie przez 5 lat, zaś dane osobowe i jednostkowe dane medyczne pozyskane z SIM</w:t>
            </w:r>
            <w:r w:rsidR="009171E8" w:rsidRPr="001941B0">
              <w:rPr>
                <w:rFonts w:eastAsiaTheme="minorEastAsia"/>
                <w:sz w:val="20"/>
                <w:szCs w:val="20"/>
              </w:rPr>
              <w:t xml:space="preserve"> </w:t>
            </w:r>
            <w:r w:rsidRPr="001941B0">
              <w:rPr>
                <w:rFonts w:eastAsiaTheme="minorEastAsia"/>
                <w:sz w:val="20"/>
                <w:szCs w:val="20"/>
              </w:rPr>
              <w:t>oraz dokumentacji medycznej usługobiorcy przez okres 20 lat. Projektodawca przyjmuje,</w:t>
            </w:r>
          </w:p>
          <w:p w14:paraId="2BA42D3D" w14:textId="62BCD418" w:rsidR="00617EE7" w:rsidRPr="001941B0" w:rsidRDefault="00617EE7" w:rsidP="00617EE7">
            <w:pPr>
              <w:autoSpaceDE w:val="0"/>
              <w:autoSpaceDN w:val="0"/>
              <w:adjustRightInd w:val="0"/>
              <w:spacing w:after="0" w:line="240" w:lineRule="auto"/>
              <w:rPr>
                <w:rFonts w:eastAsiaTheme="minorEastAsia"/>
                <w:sz w:val="20"/>
                <w:szCs w:val="20"/>
              </w:rPr>
            </w:pPr>
            <w:r w:rsidRPr="001941B0">
              <w:rPr>
                <w:rFonts w:eastAsiaTheme="minorEastAsia"/>
                <w:sz w:val="20"/>
                <w:szCs w:val="20"/>
              </w:rPr>
              <w:t>że nie jest wymagana zgoda pacjenta (usługobiorcy) na przetwarzanie jego danych w</w:t>
            </w:r>
            <w:r w:rsidR="009171E8" w:rsidRPr="001941B0">
              <w:rPr>
                <w:rFonts w:eastAsiaTheme="minorEastAsia"/>
                <w:sz w:val="20"/>
                <w:szCs w:val="20"/>
              </w:rPr>
              <w:t xml:space="preserve"> </w:t>
            </w:r>
            <w:r w:rsidRPr="001941B0">
              <w:rPr>
                <w:rFonts w:eastAsiaTheme="minorEastAsia"/>
                <w:sz w:val="20"/>
                <w:szCs w:val="20"/>
              </w:rPr>
              <w:t>systemie e-Konsylium, może to się odbywać również bez jego wiedzy w wyniku</w:t>
            </w:r>
            <w:r w:rsidR="009171E8" w:rsidRPr="001941B0">
              <w:rPr>
                <w:rFonts w:eastAsiaTheme="minorEastAsia"/>
                <w:sz w:val="20"/>
                <w:szCs w:val="20"/>
              </w:rPr>
              <w:t xml:space="preserve"> </w:t>
            </w:r>
            <w:r w:rsidRPr="001941B0">
              <w:rPr>
                <w:rFonts w:eastAsiaTheme="minorEastAsia"/>
                <w:sz w:val="20"/>
                <w:szCs w:val="20"/>
              </w:rPr>
              <w:t>konsultacji. Dlatego szczególnie istotne jest przenalizowanie tej kwestii z punktu widzenia</w:t>
            </w:r>
            <w:r w:rsidR="009171E8" w:rsidRPr="001941B0">
              <w:rPr>
                <w:rFonts w:eastAsiaTheme="minorEastAsia"/>
                <w:sz w:val="20"/>
                <w:szCs w:val="20"/>
              </w:rPr>
              <w:t xml:space="preserve"> </w:t>
            </w:r>
            <w:r w:rsidRPr="001941B0">
              <w:rPr>
                <w:rFonts w:eastAsiaTheme="minorEastAsia"/>
                <w:sz w:val="20"/>
                <w:szCs w:val="20"/>
              </w:rPr>
              <w:t>zasady ograniczenia przechowywania, jak również pozostałych zasad dotyczących</w:t>
            </w:r>
            <w:r w:rsidR="009171E8" w:rsidRPr="001941B0">
              <w:rPr>
                <w:rFonts w:eastAsiaTheme="minorEastAsia"/>
                <w:sz w:val="20"/>
                <w:szCs w:val="20"/>
              </w:rPr>
              <w:t xml:space="preserve"> </w:t>
            </w:r>
            <w:r w:rsidRPr="001941B0">
              <w:rPr>
                <w:rFonts w:eastAsiaTheme="minorEastAsia"/>
                <w:sz w:val="20"/>
                <w:szCs w:val="20"/>
              </w:rPr>
              <w:t>przetwarzania danych osobowych, o których mowa w art. 5 rozporządzenia 2016/679.</w:t>
            </w:r>
            <w:r w:rsidR="009171E8" w:rsidRPr="001941B0">
              <w:rPr>
                <w:rFonts w:eastAsiaTheme="minorEastAsia"/>
                <w:sz w:val="20"/>
                <w:szCs w:val="20"/>
              </w:rPr>
              <w:t xml:space="preserve"> </w:t>
            </w:r>
            <w:r w:rsidRPr="001941B0">
              <w:rPr>
                <w:rFonts w:eastAsiaTheme="minorEastAsia"/>
                <w:sz w:val="20"/>
                <w:szCs w:val="20"/>
              </w:rPr>
              <w:t>Projektodawca musi również zapewnić realizację praw podmiotów danych, np. w zakresie</w:t>
            </w:r>
            <w:r w:rsidR="009171E8" w:rsidRPr="001941B0">
              <w:rPr>
                <w:rFonts w:eastAsiaTheme="minorEastAsia"/>
                <w:sz w:val="20"/>
                <w:szCs w:val="20"/>
              </w:rPr>
              <w:t xml:space="preserve"> </w:t>
            </w:r>
            <w:r w:rsidRPr="001941B0">
              <w:rPr>
                <w:rFonts w:eastAsiaTheme="minorEastAsia"/>
                <w:sz w:val="20"/>
                <w:szCs w:val="20"/>
              </w:rPr>
              <w:t>możliwości dostępu i uzyskania kopii nagrań dźwięku z przeprowadzonych konsultacji.</w:t>
            </w:r>
            <w:r w:rsidR="009171E8" w:rsidRPr="001941B0">
              <w:rPr>
                <w:rFonts w:eastAsiaTheme="minorEastAsia"/>
                <w:sz w:val="20"/>
                <w:szCs w:val="20"/>
              </w:rPr>
              <w:t xml:space="preserve"> </w:t>
            </w:r>
            <w:r w:rsidRPr="001941B0">
              <w:rPr>
                <w:rFonts w:eastAsiaTheme="minorEastAsia"/>
                <w:sz w:val="20"/>
                <w:szCs w:val="20"/>
              </w:rPr>
              <w:t xml:space="preserve">Nie bez znaczenia w tym kontekście jest także to, że </w:t>
            </w:r>
            <w:r w:rsidRPr="001941B0">
              <w:rPr>
                <w:rFonts w:eastAsiaTheme="minorEastAsia"/>
                <w:b/>
                <w:bCs/>
                <w:sz w:val="20"/>
                <w:szCs w:val="20"/>
              </w:rPr>
              <w:t>wykonywanie tych</w:t>
            </w:r>
            <w:r w:rsidR="009171E8" w:rsidRPr="001941B0">
              <w:rPr>
                <w:rFonts w:eastAsiaTheme="minorEastAsia"/>
                <w:sz w:val="20"/>
                <w:szCs w:val="20"/>
              </w:rPr>
              <w:t xml:space="preserve"> </w:t>
            </w:r>
            <w:r w:rsidRPr="001941B0">
              <w:rPr>
                <w:rFonts w:eastAsiaTheme="minorEastAsia"/>
                <w:b/>
                <w:bCs/>
                <w:sz w:val="20"/>
                <w:szCs w:val="20"/>
              </w:rPr>
              <w:t>przepisów będzie wymagało realizacji szerokiego wachlarza praw podmiotów</w:t>
            </w:r>
          </w:p>
          <w:p w14:paraId="460EF378" w14:textId="5468452A" w:rsidR="00F33F0D" w:rsidRPr="001941B0" w:rsidRDefault="00617EE7" w:rsidP="00617EE7">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danych, wynikających zarówno z rozporządzenia 2016/679, jak i EHDS</w:t>
            </w:r>
            <w:r w:rsidRPr="001941B0">
              <w:rPr>
                <w:rFonts w:eastAsiaTheme="minorEastAsia"/>
                <w:sz w:val="20"/>
                <w:szCs w:val="20"/>
              </w:rPr>
              <w:t>.</w:t>
            </w:r>
          </w:p>
        </w:tc>
        <w:tc>
          <w:tcPr>
            <w:tcW w:w="2855" w:type="dxa"/>
            <w:shd w:val="clear" w:color="auto" w:fill="FFFFFF" w:themeFill="background1"/>
          </w:tcPr>
          <w:p w14:paraId="64FD210B" w14:textId="77777777" w:rsidR="00471636" w:rsidRPr="001941B0" w:rsidRDefault="00471636" w:rsidP="00DC230D">
            <w:pPr>
              <w:autoSpaceDE w:val="0"/>
              <w:autoSpaceDN w:val="0"/>
              <w:adjustRightInd w:val="0"/>
              <w:spacing w:after="0" w:line="240" w:lineRule="auto"/>
              <w:rPr>
                <w:rFonts w:cstheme="minorHAnsi"/>
                <w:bCs/>
                <w:iCs/>
                <w:sz w:val="20"/>
                <w:szCs w:val="20"/>
              </w:rPr>
            </w:pPr>
            <w:r w:rsidRPr="001941B0">
              <w:rPr>
                <w:rFonts w:cstheme="minorHAnsi"/>
                <w:bCs/>
                <w:iCs/>
                <w:sz w:val="20"/>
                <w:szCs w:val="20"/>
              </w:rPr>
              <w:lastRenderedPageBreak/>
              <w:t>Wyjaśnienie</w:t>
            </w:r>
          </w:p>
          <w:p w14:paraId="2CF335CF" w14:textId="4A5CC281" w:rsidR="00DC230D" w:rsidRPr="001941B0" w:rsidRDefault="00DC230D" w:rsidP="00DC230D">
            <w:pPr>
              <w:autoSpaceDE w:val="0"/>
              <w:autoSpaceDN w:val="0"/>
              <w:adjustRightInd w:val="0"/>
              <w:spacing w:after="0" w:line="240" w:lineRule="auto"/>
              <w:rPr>
                <w:rFonts w:cstheme="minorHAnsi"/>
                <w:bCs/>
                <w:iCs/>
                <w:sz w:val="20"/>
                <w:szCs w:val="20"/>
              </w:rPr>
            </w:pPr>
            <w:r w:rsidRPr="001941B0">
              <w:rPr>
                <w:rFonts w:cstheme="minorHAnsi"/>
                <w:bCs/>
                <w:iCs/>
                <w:sz w:val="20"/>
                <w:szCs w:val="20"/>
              </w:rPr>
              <w:t>Nagranie nie będzie miało charakteru dokumentacji medycznej. Nagranie stanowi jedynie ślad audytowy.</w:t>
            </w:r>
          </w:p>
          <w:p w14:paraId="3C846F74" w14:textId="70AAD736" w:rsidR="001476C5" w:rsidRPr="001941B0" w:rsidRDefault="001476C5" w:rsidP="001476C5">
            <w:pPr>
              <w:autoSpaceDE w:val="0"/>
              <w:autoSpaceDN w:val="0"/>
              <w:adjustRightInd w:val="0"/>
              <w:spacing w:after="0" w:line="240" w:lineRule="auto"/>
              <w:rPr>
                <w:rFonts w:cstheme="minorHAnsi"/>
                <w:bCs/>
                <w:iCs/>
                <w:sz w:val="20"/>
                <w:szCs w:val="20"/>
              </w:rPr>
            </w:pPr>
            <w:r w:rsidRPr="001941B0">
              <w:rPr>
                <w:rFonts w:cstheme="minorHAnsi"/>
                <w:bCs/>
                <w:iCs/>
                <w:sz w:val="20"/>
                <w:szCs w:val="20"/>
              </w:rPr>
              <w:t>Pacjent ma dostęp do dokumentacji medycznej, ale nie będzie miał dostępu do nagrania.</w:t>
            </w:r>
          </w:p>
          <w:p w14:paraId="1B31A5EC" w14:textId="2C036F94" w:rsidR="002B29A3" w:rsidRPr="001941B0" w:rsidRDefault="002B29A3" w:rsidP="001476C5">
            <w:pPr>
              <w:autoSpaceDE w:val="0"/>
              <w:autoSpaceDN w:val="0"/>
              <w:adjustRightInd w:val="0"/>
              <w:spacing w:after="0" w:line="240" w:lineRule="auto"/>
              <w:rPr>
                <w:rFonts w:cstheme="minorHAnsi"/>
                <w:b/>
                <w:iCs/>
                <w:sz w:val="20"/>
                <w:szCs w:val="20"/>
              </w:rPr>
            </w:pPr>
            <w:r w:rsidRPr="001941B0">
              <w:rPr>
                <w:rFonts w:cstheme="minorHAnsi"/>
                <w:bCs/>
                <w:iCs/>
                <w:sz w:val="20"/>
                <w:szCs w:val="20"/>
              </w:rPr>
              <w:t>Zgodnie z uwagą zgłoszoną przez CeZ (nr 187) dodanie zostanie zapis o fakultatywności nagrania.</w:t>
            </w:r>
          </w:p>
          <w:p w14:paraId="469F1D1B" w14:textId="49E3D1C9" w:rsidR="00D65FD6" w:rsidRPr="001941B0" w:rsidRDefault="00194B4C" w:rsidP="002B29A3">
            <w:pPr>
              <w:autoSpaceDE w:val="0"/>
              <w:autoSpaceDN w:val="0"/>
              <w:adjustRightInd w:val="0"/>
              <w:spacing w:after="0" w:line="240" w:lineRule="auto"/>
              <w:rPr>
                <w:rFonts w:cstheme="minorHAnsi"/>
                <w:bCs/>
                <w:iCs/>
                <w:sz w:val="20"/>
                <w:szCs w:val="20"/>
              </w:rPr>
            </w:pPr>
            <w:r w:rsidRPr="001941B0">
              <w:rPr>
                <w:rFonts w:cstheme="minorHAnsi"/>
                <w:bCs/>
                <w:iCs/>
                <w:sz w:val="20"/>
                <w:szCs w:val="20"/>
              </w:rPr>
              <w:t>Ograniczenie okresu i zakres nagrań został przekazany wraz z uwagami RCL.</w:t>
            </w:r>
          </w:p>
        </w:tc>
      </w:tr>
      <w:tr w:rsidR="00FC7212" w:rsidRPr="001941B0" w14:paraId="15388DAD" w14:textId="77777777" w:rsidTr="7139DBB9">
        <w:tc>
          <w:tcPr>
            <w:tcW w:w="1125" w:type="dxa"/>
            <w:shd w:val="clear" w:color="auto" w:fill="FFFFFF" w:themeFill="background1"/>
          </w:tcPr>
          <w:p w14:paraId="7A785CBB"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68A77AD" w14:textId="1AE2CD0A" w:rsidR="00F33F0D" w:rsidRPr="001941B0" w:rsidRDefault="008E2EB5"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391E30E4" w14:textId="5D81BE65" w:rsidR="00F33F0D" w:rsidRPr="001941B0" w:rsidRDefault="008E2EB5" w:rsidP="00F33F0D">
            <w:pPr>
              <w:autoSpaceDE w:val="0"/>
              <w:autoSpaceDN w:val="0"/>
              <w:adjustRightInd w:val="0"/>
              <w:spacing w:after="0" w:line="240" w:lineRule="auto"/>
              <w:rPr>
                <w:rFonts w:cs="Calibri"/>
                <w:b/>
                <w:bCs/>
                <w:sz w:val="20"/>
                <w:szCs w:val="20"/>
              </w:rPr>
            </w:pPr>
            <w:r w:rsidRPr="001941B0">
              <w:rPr>
                <w:rFonts w:cs="Calibri"/>
                <w:sz w:val="20"/>
                <w:szCs w:val="20"/>
              </w:rPr>
              <w:t>Art. 5 pkt 11</w:t>
            </w:r>
            <w:r w:rsidR="00852149" w:rsidRPr="001941B0">
              <w:rPr>
                <w:rFonts w:cs="Calibri"/>
                <w:sz w:val="20"/>
                <w:szCs w:val="20"/>
              </w:rPr>
              <w:t xml:space="preserve"> lit a </w:t>
            </w:r>
          </w:p>
        </w:tc>
        <w:tc>
          <w:tcPr>
            <w:tcW w:w="5652" w:type="dxa"/>
            <w:shd w:val="clear" w:color="auto" w:fill="FFFFFF" w:themeFill="background1"/>
          </w:tcPr>
          <w:p w14:paraId="69EC0630" w14:textId="10EAE424" w:rsidR="0015038C" w:rsidRPr="001941B0" w:rsidRDefault="0015038C" w:rsidP="0015038C">
            <w:pPr>
              <w:autoSpaceDE w:val="0"/>
              <w:autoSpaceDN w:val="0"/>
              <w:adjustRightInd w:val="0"/>
              <w:spacing w:after="0" w:line="240" w:lineRule="auto"/>
              <w:rPr>
                <w:rFonts w:eastAsiaTheme="minorEastAsia"/>
                <w:sz w:val="20"/>
                <w:szCs w:val="20"/>
              </w:rPr>
            </w:pPr>
            <w:r w:rsidRPr="001941B0">
              <w:rPr>
                <w:rFonts w:eastAsiaTheme="minorEastAsia"/>
                <w:sz w:val="20"/>
                <w:szCs w:val="20"/>
              </w:rPr>
              <w:t>14.Zgodnie z art. 13b ust. 2 ustawy o systemie informacji w ochronie zdrowia: „Digitalizacja dokumentacji medycznej następuje przez sporządzenie jej odwzorowania cyfrowego i opatrzenie go kwalifikowanym podpisem elektronicznym, podpisem zaufanym, podpisem osobistym lub pieczęcią elektroniczną przez osobę upoważnioną przez usługodawcę do potwierdzenia zgodności odwzorowania cyfrowego z dokumentem w postaci papierowej.”. Jak wskazano w uzasadnieniu do projektu ustawy, „Dodanie w art.13b ust. 2 ustawy o SIOZ możliwości opatrzenia odwzorowania cyfrowego pieczęcią elektroniczną także ma na celu wsparcie procesu digitalizacji przez umożliwienie</w:t>
            </w:r>
          </w:p>
          <w:p w14:paraId="56467D35" w14:textId="574F51C3" w:rsidR="00F33F0D" w:rsidRPr="001941B0" w:rsidRDefault="0015038C" w:rsidP="00210591">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podpisania dokumentu z użyciem narzędzia identyfikującego usługodawcę, a nie konkretnego pracownika. Takie oznaczenie </w:t>
            </w:r>
            <w:r w:rsidRPr="001941B0">
              <w:rPr>
                <w:rFonts w:eastAsiaTheme="minorEastAsia"/>
                <w:sz w:val="20"/>
                <w:szCs w:val="20"/>
              </w:rPr>
              <w:lastRenderedPageBreak/>
              <w:t>jest wystarczające, gdyż jego rolą jest potwierdzenie zgodności wersji papierowej z elektroniczną na poziomie usługodawcy, na którym spoczywają obowiązki w zakresie prowadzenia, przechowywania i udostępniania dokumentacji medycznej.”. Powstaje zatem pytanie w jaki sposób usługodawcy zapewnią rozliczalność procesu digitalizacji dokumentacji, tzn. w jaki sposób będzie można przypisać konkretnej osobie działania związane z digitalizacją dokumentacji medycznej i związanymi z tym procesami przetwarzania. Rozważenia wymaga również dodatkowy</w:t>
            </w:r>
            <w:r w:rsidR="00210591" w:rsidRPr="001941B0">
              <w:rPr>
                <w:rFonts w:eastAsiaTheme="minorEastAsia"/>
                <w:sz w:val="20"/>
                <w:szCs w:val="20"/>
              </w:rPr>
              <w:t xml:space="preserve"> </w:t>
            </w:r>
            <w:r w:rsidRPr="001941B0">
              <w:rPr>
                <w:rFonts w:eastAsiaTheme="minorEastAsia"/>
                <w:sz w:val="20"/>
                <w:szCs w:val="20"/>
              </w:rPr>
              <w:t>zakres danych jaki zostaje utrwalony w zdigitalizowanej dokumentacji medycznej w związku z użyciem podpisu zaufanego i osobistego (certyfikat tych podpisów zawiera numer PESEL osoby podpisującej). Będzie to użycie danych o charakterze prywatnym do celów służbowych, co powinno zostać przeanalizowane w kontekście realizacji założeń rozporządzenia Parlamentu Europejskiego i Rady (UE) 2024/1183 z dnia 11 kwietnia 2024</w:t>
            </w:r>
            <w:r w:rsidR="00210591" w:rsidRPr="001941B0">
              <w:rPr>
                <w:rFonts w:eastAsiaTheme="minorEastAsia"/>
                <w:sz w:val="20"/>
                <w:szCs w:val="20"/>
              </w:rPr>
              <w:t xml:space="preserve"> </w:t>
            </w:r>
            <w:r w:rsidRPr="001941B0">
              <w:rPr>
                <w:rFonts w:eastAsiaTheme="minorEastAsia"/>
                <w:sz w:val="20"/>
                <w:szCs w:val="20"/>
              </w:rPr>
              <w:t>r. w sprawie zmiany rozporządzenia (UE) nr 910/2014 w odniesieniu do ustanowienia europejskich ram tożsamości cyfrowej (Dz. U. UE. L. z 2024 r. poz. 1183), tzw. eIDAS2.</w:t>
            </w:r>
            <w:r w:rsidR="008B1259" w:rsidRPr="001941B0">
              <w:rPr>
                <w:rFonts w:eastAsiaTheme="minorEastAsia"/>
                <w:sz w:val="20"/>
                <w:szCs w:val="20"/>
              </w:rPr>
              <w:t xml:space="preserve"> </w:t>
            </w:r>
            <w:r w:rsidR="008B1259" w:rsidRPr="001941B0">
              <w:rPr>
                <w:rFonts w:cs="ArialMT"/>
                <w:kern w:val="0"/>
                <w:sz w:val="24"/>
                <w:szCs w:val="24"/>
              </w:rPr>
              <w:t xml:space="preserve"> </w:t>
            </w:r>
            <w:r w:rsidR="008B1259" w:rsidRPr="001941B0">
              <w:rPr>
                <w:rFonts w:eastAsiaTheme="minorEastAsia"/>
                <w:sz w:val="20"/>
                <w:szCs w:val="20"/>
              </w:rPr>
              <w:t>Odpowiedzialność za wykonywanie obowiązków wynikających z przepisów prawa musi być przypisana podmiotowi, a nie systemowi, zgodnie z zasadami rzetelności i przejrzystości, ograniczenia celu, minimalizacji danych, poufności i integralności oraz rozliczalności, gdyż to podmiot – administrator danych, a nie system, przetwarza dane osobowe.</w:t>
            </w:r>
          </w:p>
        </w:tc>
        <w:tc>
          <w:tcPr>
            <w:tcW w:w="2855" w:type="dxa"/>
            <w:shd w:val="clear" w:color="auto" w:fill="FFFFFF" w:themeFill="background1"/>
          </w:tcPr>
          <w:p w14:paraId="3D259469" w14:textId="3F14EDA5" w:rsidR="00F33F0D" w:rsidRPr="001941B0" w:rsidRDefault="00327441" w:rsidP="00F33F0D">
            <w:pPr>
              <w:autoSpaceDE w:val="0"/>
              <w:autoSpaceDN w:val="0"/>
              <w:adjustRightInd w:val="0"/>
              <w:spacing w:after="0" w:line="240" w:lineRule="auto"/>
              <w:rPr>
                <w:rFonts w:cstheme="minorHAnsi"/>
                <w:b/>
                <w:iCs/>
                <w:sz w:val="20"/>
                <w:szCs w:val="20"/>
              </w:rPr>
            </w:pPr>
            <w:r w:rsidRPr="001941B0">
              <w:rPr>
                <w:rFonts w:cstheme="minorHAnsi"/>
                <w:b/>
                <w:iCs/>
                <w:sz w:val="20"/>
                <w:szCs w:val="20"/>
              </w:rPr>
              <w:lastRenderedPageBreak/>
              <w:t>Wyjaśnienia</w:t>
            </w:r>
          </w:p>
          <w:p w14:paraId="2D1B956D" w14:textId="43F3D9CC" w:rsidR="00DD589C" w:rsidRPr="001941B0" w:rsidRDefault="00BD7121" w:rsidP="00F33F0D">
            <w:pPr>
              <w:autoSpaceDE w:val="0"/>
              <w:autoSpaceDN w:val="0"/>
              <w:adjustRightInd w:val="0"/>
              <w:spacing w:after="0" w:line="240" w:lineRule="auto"/>
              <w:rPr>
                <w:rFonts w:cstheme="minorHAnsi"/>
                <w:bCs/>
                <w:iCs/>
                <w:sz w:val="20"/>
                <w:szCs w:val="20"/>
              </w:rPr>
            </w:pPr>
            <w:r w:rsidRPr="001941B0">
              <w:rPr>
                <w:rFonts w:cstheme="minorHAnsi"/>
                <w:bCs/>
                <w:iCs/>
                <w:sz w:val="20"/>
                <w:szCs w:val="20"/>
              </w:rPr>
              <w:t xml:space="preserve">Rozliczalność dokumentacji zdigitalizowanej za pomocą </w:t>
            </w:r>
            <w:r w:rsidR="00AF5EE9" w:rsidRPr="001941B0">
              <w:rPr>
                <w:rFonts w:cstheme="minorHAnsi"/>
                <w:bCs/>
                <w:iCs/>
                <w:sz w:val="20"/>
                <w:szCs w:val="20"/>
              </w:rPr>
              <w:t xml:space="preserve">narzędzia dostarczonego przez CeZ  </w:t>
            </w:r>
            <w:r w:rsidRPr="001941B0">
              <w:rPr>
                <w:rFonts w:cstheme="minorHAnsi"/>
                <w:bCs/>
                <w:iCs/>
                <w:sz w:val="20"/>
                <w:szCs w:val="20"/>
              </w:rPr>
              <w:t xml:space="preserve">będzie </w:t>
            </w:r>
            <w:r w:rsidR="000420FD" w:rsidRPr="001941B0">
              <w:rPr>
                <w:rFonts w:cstheme="minorHAnsi"/>
                <w:bCs/>
                <w:iCs/>
                <w:sz w:val="20"/>
                <w:szCs w:val="20"/>
              </w:rPr>
              <w:t>zapewniona w P1.</w:t>
            </w:r>
          </w:p>
          <w:p w14:paraId="693E470C" w14:textId="6AC9719E" w:rsidR="0044517C" w:rsidRPr="001941B0" w:rsidRDefault="00DD589C" w:rsidP="00F33F0D">
            <w:pPr>
              <w:autoSpaceDE w:val="0"/>
              <w:autoSpaceDN w:val="0"/>
              <w:adjustRightInd w:val="0"/>
              <w:spacing w:after="0" w:line="240" w:lineRule="auto"/>
              <w:rPr>
                <w:rFonts w:cstheme="minorHAnsi"/>
                <w:bCs/>
                <w:iCs/>
                <w:sz w:val="20"/>
                <w:szCs w:val="20"/>
              </w:rPr>
            </w:pPr>
            <w:r w:rsidRPr="001941B0">
              <w:rPr>
                <w:rFonts w:cstheme="minorHAnsi"/>
                <w:bCs/>
                <w:iCs/>
                <w:sz w:val="20"/>
                <w:szCs w:val="20"/>
              </w:rPr>
              <w:t xml:space="preserve">Narzędzie do digitalizacji dopuszcza </w:t>
            </w:r>
            <w:r w:rsidR="00445CA3" w:rsidRPr="001941B0">
              <w:rPr>
                <w:rFonts w:cstheme="minorHAnsi"/>
                <w:bCs/>
                <w:iCs/>
                <w:sz w:val="20"/>
                <w:szCs w:val="20"/>
              </w:rPr>
              <w:t xml:space="preserve">różnego rodzaju </w:t>
            </w:r>
            <w:r w:rsidR="0044517C" w:rsidRPr="001941B0">
              <w:rPr>
                <w:rFonts w:cstheme="minorHAnsi"/>
                <w:bCs/>
                <w:iCs/>
                <w:sz w:val="20"/>
                <w:szCs w:val="20"/>
              </w:rPr>
              <w:t>podpis</w:t>
            </w:r>
            <w:r w:rsidR="00445CA3" w:rsidRPr="001941B0">
              <w:rPr>
                <w:rFonts w:cstheme="minorHAnsi"/>
                <w:bCs/>
                <w:iCs/>
                <w:sz w:val="20"/>
                <w:szCs w:val="20"/>
              </w:rPr>
              <w:t xml:space="preserve">y </w:t>
            </w:r>
            <w:r w:rsidR="00F27510" w:rsidRPr="001941B0">
              <w:rPr>
                <w:rFonts w:cstheme="minorHAnsi"/>
                <w:bCs/>
                <w:iCs/>
                <w:sz w:val="20"/>
                <w:szCs w:val="20"/>
              </w:rPr>
              <w:t>–</w:t>
            </w:r>
            <w:r w:rsidR="00445CA3" w:rsidRPr="001941B0">
              <w:rPr>
                <w:rFonts w:cstheme="minorHAnsi"/>
                <w:bCs/>
                <w:iCs/>
                <w:sz w:val="20"/>
                <w:szCs w:val="20"/>
              </w:rPr>
              <w:t xml:space="preserve"> </w:t>
            </w:r>
            <w:r w:rsidR="00F27510" w:rsidRPr="001941B0">
              <w:rPr>
                <w:rFonts w:cstheme="minorHAnsi"/>
                <w:bCs/>
                <w:iCs/>
                <w:sz w:val="20"/>
                <w:szCs w:val="20"/>
              </w:rPr>
              <w:t>art. 5 pkt 11) projektowanej ustawy.</w:t>
            </w:r>
            <w:r w:rsidR="0044517C" w:rsidRPr="001941B0">
              <w:rPr>
                <w:rFonts w:cstheme="minorHAnsi"/>
                <w:bCs/>
                <w:iCs/>
                <w:sz w:val="20"/>
                <w:szCs w:val="20"/>
              </w:rPr>
              <w:t xml:space="preserve"> Pracodawca/usługodawca może </w:t>
            </w:r>
            <w:r w:rsidR="00162DBE" w:rsidRPr="001941B0">
              <w:rPr>
                <w:rFonts w:cstheme="minorHAnsi"/>
                <w:bCs/>
                <w:iCs/>
                <w:sz w:val="20"/>
                <w:szCs w:val="20"/>
              </w:rPr>
              <w:t xml:space="preserve">zapewnić </w:t>
            </w:r>
            <w:r w:rsidR="00716517" w:rsidRPr="001941B0">
              <w:rPr>
                <w:rFonts w:cstheme="minorHAnsi"/>
                <w:bCs/>
                <w:iCs/>
                <w:sz w:val="20"/>
                <w:szCs w:val="20"/>
              </w:rPr>
              <w:t xml:space="preserve">odpowiednie podpisy </w:t>
            </w:r>
            <w:r w:rsidR="0044517C" w:rsidRPr="001941B0">
              <w:rPr>
                <w:rFonts w:cstheme="minorHAnsi"/>
                <w:bCs/>
                <w:iCs/>
                <w:sz w:val="20"/>
                <w:szCs w:val="20"/>
              </w:rPr>
              <w:t>pracownikom</w:t>
            </w:r>
            <w:r w:rsidR="001A0C05" w:rsidRPr="001941B0">
              <w:rPr>
                <w:rFonts w:cstheme="minorHAnsi"/>
                <w:bCs/>
                <w:iCs/>
                <w:sz w:val="20"/>
                <w:szCs w:val="20"/>
              </w:rPr>
              <w:t xml:space="preserve"> lub pieczęć</w:t>
            </w:r>
            <w:r w:rsidR="007878BC" w:rsidRPr="001941B0">
              <w:rPr>
                <w:rFonts w:cstheme="minorHAnsi"/>
                <w:bCs/>
                <w:iCs/>
                <w:sz w:val="20"/>
                <w:szCs w:val="20"/>
              </w:rPr>
              <w:t xml:space="preserve"> elektroniczną</w:t>
            </w:r>
            <w:r w:rsidR="0044517C" w:rsidRPr="001941B0">
              <w:rPr>
                <w:rFonts w:cstheme="minorHAnsi"/>
                <w:bCs/>
                <w:iCs/>
                <w:sz w:val="20"/>
                <w:szCs w:val="20"/>
              </w:rPr>
              <w:t>.</w:t>
            </w:r>
          </w:p>
        </w:tc>
      </w:tr>
      <w:tr w:rsidR="00FC7212" w:rsidRPr="001941B0" w14:paraId="2F6DA2F8" w14:textId="77777777" w:rsidTr="7139DBB9">
        <w:tc>
          <w:tcPr>
            <w:tcW w:w="1125" w:type="dxa"/>
            <w:shd w:val="clear" w:color="auto" w:fill="FFFFFF" w:themeFill="background1"/>
          </w:tcPr>
          <w:p w14:paraId="798EACE9"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18C4DAB" w14:textId="0CF164EF" w:rsidR="00F33F0D" w:rsidRPr="001941B0" w:rsidRDefault="00852149"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2E8C9009" w14:textId="55720EF8" w:rsidR="00F33F0D" w:rsidRPr="001941B0" w:rsidRDefault="00852149" w:rsidP="00F33F0D">
            <w:pPr>
              <w:autoSpaceDE w:val="0"/>
              <w:autoSpaceDN w:val="0"/>
              <w:adjustRightInd w:val="0"/>
              <w:spacing w:after="0" w:line="240" w:lineRule="auto"/>
              <w:rPr>
                <w:rFonts w:cs="Calibri"/>
                <w:sz w:val="20"/>
                <w:szCs w:val="20"/>
              </w:rPr>
            </w:pPr>
            <w:r w:rsidRPr="001941B0">
              <w:rPr>
                <w:rFonts w:cs="Calibri"/>
                <w:sz w:val="20"/>
                <w:szCs w:val="20"/>
              </w:rPr>
              <w:t xml:space="preserve">Art. 5 pkt 11 lit b </w:t>
            </w:r>
          </w:p>
        </w:tc>
        <w:tc>
          <w:tcPr>
            <w:tcW w:w="5652" w:type="dxa"/>
            <w:shd w:val="clear" w:color="auto" w:fill="FFFFFF" w:themeFill="background1"/>
          </w:tcPr>
          <w:p w14:paraId="2348A9BF" w14:textId="4D6213AD" w:rsidR="00BD6225"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15. Zgodnie z art. 13b ust. 2a-2c ustawy o systemie informacji w ochronie zdrowia:</w:t>
            </w:r>
            <w:r w:rsidR="005C6294" w:rsidRPr="001941B0">
              <w:rPr>
                <w:rFonts w:eastAsiaTheme="minorEastAsia"/>
                <w:sz w:val="20"/>
                <w:szCs w:val="20"/>
              </w:rPr>
              <w:t xml:space="preserve"> </w:t>
            </w:r>
            <w:r w:rsidRPr="001941B0">
              <w:rPr>
                <w:rFonts w:eastAsiaTheme="minorEastAsia"/>
                <w:sz w:val="20"/>
                <w:szCs w:val="20"/>
              </w:rPr>
              <w:t>„2a. Digitalizacja dokumentacji medycznej może nastąpić również przez sporządzenie jej</w:t>
            </w:r>
            <w:r w:rsidR="005C6294" w:rsidRPr="001941B0">
              <w:rPr>
                <w:rFonts w:eastAsiaTheme="minorEastAsia"/>
                <w:sz w:val="20"/>
                <w:szCs w:val="20"/>
              </w:rPr>
              <w:t xml:space="preserve"> </w:t>
            </w:r>
            <w:r w:rsidRPr="001941B0">
              <w:rPr>
                <w:rFonts w:eastAsiaTheme="minorEastAsia"/>
                <w:sz w:val="20"/>
                <w:szCs w:val="20"/>
              </w:rPr>
              <w:t>odwzorowania cyfrowego za pomocą narzędzia informatycznego i opatrzenie go</w:t>
            </w:r>
          </w:p>
          <w:p w14:paraId="1BC71E05" w14:textId="708CDA0E" w:rsidR="00BD6225"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kwalifikowanym podpisem elektronicznym, podpisem zaufanym, podpisem osobistym lub</w:t>
            </w:r>
            <w:r w:rsidR="007473C3" w:rsidRPr="001941B0">
              <w:rPr>
                <w:rFonts w:eastAsiaTheme="minorEastAsia"/>
                <w:sz w:val="20"/>
                <w:szCs w:val="20"/>
              </w:rPr>
              <w:t xml:space="preserve"> </w:t>
            </w:r>
            <w:r w:rsidRPr="001941B0">
              <w:rPr>
                <w:rFonts w:eastAsiaTheme="minorEastAsia"/>
                <w:sz w:val="20"/>
                <w:szCs w:val="20"/>
              </w:rPr>
              <w:t>pieczęcią elektroniczną przez osobę upoważnioną przez usługodawcę do potwierdzenia</w:t>
            </w:r>
            <w:r w:rsidR="007473C3" w:rsidRPr="001941B0">
              <w:rPr>
                <w:rFonts w:eastAsiaTheme="minorEastAsia"/>
                <w:sz w:val="20"/>
                <w:szCs w:val="20"/>
              </w:rPr>
              <w:t xml:space="preserve"> </w:t>
            </w:r>
            <w:r w:rsidRPr="001941B0">
              <w:rPr>
                <w:rFonts w:eastAsiaTheme="minorEastAsia"/>
                <w:sz w:val="20"/>
                <w:szCs w:val="20"/>
              </w:rPr>
              <w:t>zgodności odwzorowania cyfrowego z dokumentem w postaci papierowej. 2b. Jednostka</w:t>
            </w:r>
            <w:r w:rsidR="007473C3" w:rsidRPr="001941B0">
              <w:rPr>
                <w:rFonts w:eastAsiaTheme="minorEastAsia"/>
                <w:sz w:val="20"/>
                <w:szCs w:val="20"/>
              </w:rPr>
              <w:t xml:space="preserve"> </w:t>
            </w:r>
            <w:r w:rsidRPr="001941B0">
              <w:rPr>
                <w:rFonts w:eastAsiaTheme="minorEastAsia"/>
                <w:sz w:val="20"/>
                <w:szCs w:val="20"/>
              </w:rPr>
              <w:t xml:space="preserve">podległa </w:t>
            </w:r>
            <w:r w:rsidRPr="001941B0">
              <w:rPr>
                <w:rFonts w:eastAsiaTheme="minorEastAsia"/>
                <w:sz w:val="20"/>
                <w:szCs w:val="20"/>
              </w:rPr>
              <w:lastRenderedPageBreak/>
              <w:t>ministrowi właściwemu do spraw zdrowia, właściwa w zakresie systemów</w:t>
            </w:r>
            <w:r w:rsidR="000376D5" w:rsidRPr="001941B0">
              <w:rPr>
                <w:rFonts w:eastAsiaTheme="minorEastAsia"/>
                <w:sz w:val="20"/>
                <w:szCs w:val="20"/>
              </w:rPr>
              <w:t xml:space="preserve"> </w:t>
            </w:r>
            <w:r w:rsidRPr="001941B0">
              <w:rPr>
                <w:rFonts w:eastAsiaTheme="minorEastAsia"/>
                <w:sz w:val="20"/>
                <w:szCs w:val="20"/>
              </w:rPr>
              <w:t>informacyjnych ochrony zdrowia może udostępniać nieodpłatnie narzędzie informatyczne</w:t>
            </w:r>
          </w:p>
          <w:p w14:paraId="21FF131C" w14:textId="471CD775" w:rsidR="00BD6225"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przeznaczone do digitalizacji dokumentacji medycznej. 2c. Minister właściwy do spraw</w:t>
            </w:r>
            <w:r w:rsidR="000376D5" w:rsidRPr="001941B0">
              <w:rPr>
                <w:rFonts w:eastAsiaTheme="minorEastAsia"/>
                <w:sz w:val="20"/>
                <w:szCs w:val="20"/>
              </w:rPr>
              <w:t xml:space="preserve"> </w:t>
            </w:r>
            <w:r w:rsidRPr="001941B0">
              <w:rPr>
                <w:rFonts w:eastAsiaTheme="minorEastAsia"/>
                <w:sz w:val="20"/>
                <w:szCs w:val="20"/>
              </w:rPr>
              <w:t>zdrowia zamieszcza w Biuletynie Informacji Publicznej tego ministra wykaz dokumentacji</w:t>
            </w:r>
          </w:p>
          <w:p w14:paraId="21B64C6D" w14:textId="289DA74C" w:rsidR="00BD6225"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medycznej możliwej do digitalizacji przy jego użyciu.</w:t>
            </w:r>
            <w:r w:rsidR="000376D5" w:rsidRPr="001941B0">
              <w:rPr>
                <w:rFonts w:eastAsiaTheme="minorEastAsia"/>
                <w:sz w:val="20"/>
                <w:szCs w:val="20"/>
              </w:rPr>
              <w:t xml:space="preserve"> </w:t>
            </w:r>
            <w:r w:rsidRPr="001941B0">
              <w:rPr>
                <w:rFonts w:eastAsiaTheme="minorEastAsia"/>
                <w:sz w:val="20"/>
                <w:szCs w:val="20"/>
              </w:rPr>
              <w:t>Projektowany przepis jest niejasny, nie wynika z niego czy jednostka podległa</w:t>
            </w:r>
          </w:p>
          <w:p w14:paraId="21E844A7" w14:textId="0492B2B0" w:rsidR="00BD6225"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ministrowi właściwemu do spraw zdrowia udostępni narzędzie do digitalizacji dokumentacji</w:t>
            </w:r>
            <w:r w:rsidR="000376D5" w:rsidRPr="001941B0">
              <w:rPr>
                <w:rFonts w:eastAsiaTheme="minorEastAsia"/>
                <w:sz w:val="20"/>
                <w:szCs w:val="20"/>
              </w:rPr>
              <w:t xml:space="preserve"> </w:t>
            </w:r>
            <w:r w:rsidRPr="001941B0">
              <w:rPr>
                <w:rFonts w:eastAsiaTheme="minorEastAsia"/>
                <w:sz w:val="20"/>
                <w:szCs w:val="20"/>
              </w:rPr>
              <w:t>medycznej i może zdecydować o jego nieodpłatności czy też od uznaniowej decyzji tej</w:t>
            </w:r>
            <w:r w:rsidR="000376D5" w:rsidRPr="001941B0">
              <w:rPr>
                <w:rFonts w:eastAsiaTheme="minorEastAsia"/>
                <w:sz w:val="20"/>
                <w:szCs w:val="20"/>
              </w:rPr>
              <w:t xml:space="preserve"> </w:t>
            </w:r>
            <w:r w:rsidRPr="001941B0">
              <w:rPr>
                <w:rFonts w:eastAsiaTheme="minorEastAsia"/>
                <w:sz w:val="20"/>
                <w:szCs w:val="20"/>
              </w:rPr>
              <w:t>jednostki będzie zależał sam fakt jego udostępnienia bądź nie. Przy pomocy tego</w:t>
            </w:r>
          </w:p>
          <w:p w14:paraId="6810E64F" w14:textId="73D7CB73" w:rsidR="00BD6225"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narzędzia będzie przetwarzana dokumentacja medyczna, zawierająca szczególne</w:t>
            </w:r>
            <w:r w:rsidR="000376D5" w:rsidRPr="001941B0">
              <w:rPr>
                <w:rFonts w:eastAsiaTheme="minorEastAsia"/>
                <w:sz w:val="20"/>
                <w:szCs w:val="20"/>
              </w:rPr>
              <w:t xml:space="preserve"> </w:t>
            </w:r>
            <w:r w:rsidRPr="001941B0">
              <w:rPr>
                <w:rFonts w:eastAsiaTheme="minorEastAsia"/>
                <w:sz w:val="20"/>
                <w:szCs w:val="20"/>
              </w:rPr>
              <w:t>kategorie danych osobowych w rozumieniu przepisów rozporządzenia 2016/679. Z tych</w:t>
            </w:r>
          </w:p>
          <w:p w14:paraId="05506784" w14:textId="7A08D6AC" w:rsidR="00BD6225"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względów narzędzie, które ma być stosowane, powinno być obligatoryjnie udostępniane</w:t>
            </w:r>
            <w:r w:rsidR="000376D5" w:rsidRPr="001941B0">
              <w:rPr>
                <w:rFonts w:eastAsiaTheme="minorEastAsia"/>
                <w:sz w:val="20"/>
                <w:szCs w:val="20"/>
              </w:rPr>
              <w:t xml:space="preserve"> </w:t>
            </w:r>
            <w:r w:rsidRPr="001941B0">
              <w:rPr>
                <w:rFonts w:eastAsiaTheme="minorEastAsia"/>
                <w:sz w:val="20"/>
                <w:szCs w:val="20"/>
              </w:rPr>
              <w:t>przez jednostkę podległą ministrowi właściwemu do spraw zdrowia, projektowana</w:t>
            </w:r>
            <w:r w:rsidR="000376D5" w:rsidRPr="001941B0">
              <w:rPr>
                <w:rFonts w:eastAsiaTheme="minorEastAsia"/>
                <w:sz w:val="20"/>
                <w:szCs w:val="20"/>
              </w:rPr>
              <w:t xml:space="preserve"> </w:t>
            </w:r>
            <w:r w:rsidRPr="001941B0">
              <w:rPr>
                <w:rFonts w:eastAsiaTheme="minorEastAsia"/>
                <w:sz w:val="20"/>
                <w:szCs w:val="20"/>
              </w:rPr>
              <w:t>ustawa powinna zaś wyznaczyć termin, do którego ma ono zostać udostępnione,</w:t>
            </w:r>
          </w:p>
          <w:p w14:paraId="617E66EF" w14:textId="5B6EB86D" w:rsidR="00F33F0D" w:rsidRPr="001941B0" w:rsidRDefault="00BD6225" w:rsidP="00BD6225">
            <w:pPr>
              <w:autoSpaceDE w:val="0"/>
              <w:autoSpaceDN w:val="0"/>
              <w:adjustRightInd w:val="0"/>
              <w:spacing w:after="0" w:line="240" w:lineRule="auto"/>
              <w:rPr>
                <w:rFonts w:eastAsiaTheme="minorEastAsia"/>
                <w:sz w:val="20"/>
                <w:szCs w:val="20"/>
              </w:rPr>
            </w:pPr>
            <w:r w:rsidRPr="001941B0">
              <w:rPr>
                <w:rFonts w:eastAsiaTheme="minorEastAsia"/>
                <w:sz w:val="20"/>
                <w:szCs w:val="20"/>
              </w:rPr>
              <w:t>jeśli nie będzie to możliwe w chwili wejścia w życie ustawy. Dodatkowo wykaz</w:t>
            </w:r>
            <w:r w:rsidR="000376D5" w:rsidRPr="001941B0">
              <w:rPr>
                <w:rFonts w:eastAsiaTheme="minorEastAsia"/>
                <w:sz w:val="20"/>
                <w:szCs w:val="20"/>
              </w:rPr>
              <w:t xml:space="preserve"> </w:t>
            </w:r>
            <w:r w:rsidRPr="001941B0">
              <w:rPr>
                <w:rFonts w:eastAsiaTheme="minorEastAsia"/>
                <w:sz w:val="20"/>
                <w:szCs w:val="20"/>
              </w:rPr>
              <w:t>dokumentacji medycznej możliwej do digitalizacji przy jego użyciu oraz</w:t>
            </w:r>
            <w:r w:rsidR="000376D5" w:rsidRPr="001941B0">
              <w:rPr>
                <w:rFonts w:eastAsiaTheme="minorEastAsia"/>
                <w:sz w:val="20"/>
                <w:szCs w:val="20"/>
              </w:rPr>
              <w:t xml:space="preserve"> </w:t>
            </w:r>
            <w:r w:rsidRPr="001941B0">
              <w:rPr>
                <w:rFonts w:eastAsiaTheme="minorEastAsia"/>
                <w:sz w:val="20"/>
                <w:szCs w:val="20"/>
              </w:rPr>
              <w:t>funkcjonalności tego narzędzia powinny zostać określone w akcie prawa</w:t>
            </w:r>
            <w:r w:rsidR="000376D5" w:rsidRPr="001941B0">
              <w:rPr>
                <w:rFonts w:eastAsiaTheme="minorEastAsia"/>
                <w:sz w:val="20"/>
                <w:szCs w:val="20"/>
              </w:rPr>
              <w:t xml:space="preserve"> </w:t>
            </w:r>
            <w:r w:rsidRPr="001941B0">
              <w:rPr>
                <w:rFonts w:eastAsiaTheme="minorEastAsia"/>
                <w:sz w:val="20"/>
                <w:szCs w:val="20"/>
              </w:rPr>
              <w:t>powszechnie obowiązującego. Na podstawie projektowanych przepisów jednostka</w:t>
            </w:r>
            <w:r w:rsidR="000376D5" w:rsidRPr="001941B0">
              <w:rPr>
                <w:rFonts w:eastAsiaTheme="minorEastAsia"/>
                <w:sz w:val="20"/>
                <w:szCs w:val="20"/>
              </w:rPr>
              <w:t xml:space="preserve"> </w:t>
            </w:r>
            <w:r w:rsidRPr="001941B0">
              <w:rPr>
                <w:rFonts w:eastAsiaTheme="minorEastAsia"/>
                <w:sz w:val="20"/>
                <w:szCs w:val="20"/>
              </w:rPr>
              <w:t>podległa ministrowi właściwemu do spraw zdrowia samodzielnie będzie decydować o</w:t>
            </w:r>
            <w:r w:rsidR="000376D5" w:rsidRPr="001941B0">
              <w:rPr>
                <w:rFonts w:eastAsiaTheme="minorEastAsia"/>
                <w:sz w:val="20"/>
                <w:szCs w:val="20"/>
              </w:rPr>
              <w:t xml:space="preserve"> </w:t>
            </w:r>
            <w:r w:rsidRPr="001941B0">
              <w:rPr>
                <w:rFonts w:eastAsiaTheme="minorEastAsia"/>
                <w:sz w:val="20"/>
                <w:szCs w:val="20"/>
              </w:rPr>
              <w:t>przetwarzaniu danych osobowych w związku z procesem digitalizacji.</w:t>
            </w:r>
          </w:p>
        </w:tc>
        <w:tc>
          <w:tcPr>
            <w:tcW w:w="2855" w:type="dxa"/>
            <w:shd w:val="clear" w:color="auto" w:fill="FFFFFF" w:themeFill="background1"/>
          </w:tcPr>
          <w:p w14:paraId="31214757" w14:textId="77777777" w:rsidR="00F33F0D" w:rsidRPr="001941B0" w:rsidRDefault="00327441" w:rsidP="00F33F0D">
            <w:pPr>
              <w:autoSpaceDE w:val="0"/>
              <w:autoSpaceDN w:val="0"/>
              <w:adjustRightInd w:val="0"/>
              <w:spacing w:after="0" w:line="240" w:lineRule="auto"/>
              <w:rPr>
                <w:rFonts w:cstheme="minorHAnsi"/>
                <w:b/>
                <w:iCs/>
                <w:sz w:val="20"/>
                <w:szCs w:val="20"/>
              </w:rPr>
            </w:pPr>
            <w:r w:rsidRPr="001941B0">
              <w:rPr>
                <w:rFonts w:cstheme="minorHAnsi"/>
                <w:b/>
                <w:iCs/>
                <w:sz w:val="20"/>
                <w:szCs w:val="20"/>
              </w:rPr>
              <w:lastRenderedPageBreak/>
              <w:t>Wyjaśnienia</w:t>
            </w:r>
          </w:p>
          <w:p w14:paraId="3ADE1FC5" w14:textId="60F68B1A" w:rsidR="00327441" w:rsidRPr="001941B0" w:rsidRDefault="004E6D02" w:rsidP="00F33F0D">
            <w:pPr>
              <w:autoSpaceDE w:val="0"/>
              <w:autoSpaceDN w:val="0"/>
              <w:adjustRightInd w:val="0"/>
              <w:spacing w:after="0" w:line="240" w:lineRule="auto"/>
              <w:rPr>
                <w:rFonts w:cstheme="minorHAnsi"/>
                <w:bCs/>
                <w:iCs/>
                <w:sz w:val="20"/>
                <w:szCs w:val="20"/>
              </w:rPr>
            </w:pPr>
            <w:r w:rsidRPr="001941B0">
              <w:rPr>
                <w:rFonts w:cstheme="minorHAnsi"/>
                <w:bCs/>
                <w:iCs/>
                <w:sz w:val="20"/>
                <w:szCs w:val="20"/>
              </w:rPr>
              <w:t xml:space="preserve">Narzędzie będzie </w:t>
            </w:r>
            <w:r w:rsidR="00327441" w:rsidRPr="001941B0">
              <w:rPr>
                <w:rFonts w:cstheme="minorHAnsi"/>
                <w:bCs/>
                <w:iCs/>
                <w:sz w:val="20"/>
                <w:szCs w:val="20"/>
              </w:rPr>
              <w:t>nieodpłatne dla wszystkich</w:t>
            </w:r>
            <w:r w:rsidRPr="001941B0">
              <w:rPr>
                <w:rFonts w:cstheme="minorHAnsi"/>
                <w:bCs/>
                <w:iCs/>
                <w:sz w:val="20"/>
                <w:szCs w:val="20"/>
              </w:rPr>
              <w:t>, nie jest to kwestia uznaniowości</w:t>
            </w:r>
            <w:r w:rsidR="00327441" w:rsidRPr="001941B0">
              <w:rPr>
                <w:rFonts w:cstheme="minorHAnsi"/>
                <w:bCs/>
                <w:iCs/>
                <w:sz w:val="20"/>
                <w:szCs w:val="20"/>
              </w:rPr>
              <w:t>.</w:t>
            </w:r>
          </w:p>
          <w:p w14:paraId="6DAFA68E" w14:textId="77777777" w:rsidR="00161C96" w:rsidRPr="001941B0" w:rsidRDefault="00161C96" w:rsidP="00F33F0D">
            <w:pPr>
              <w:autoSpaceDE w:val="0"/>
              <w:autoSpaceDN w:val="0"/>
              <w:adjustRightInd w:val="0"/>
              <w:spacing w:after="0" w:line="240" w:lineRule="auto"/>
              <w:rPr>
                <w:rFonts w:cstheme="minorHAnsi"/>
                <w:bCs/>
                <w:iCs/>
                <w:sz w:val="20"/>
                <w:szCs w:val="20"/>
              </w:rPr>
            </w:pPr>
          </w:p>
          <w:p w14:paraId="493FCB78" w14:textId="0FA35D12" w:rsidR="0041144B" w:rsidRPr="001941B0" w:rsidRDefault="00440000" w:rsidP="001B1A91">
            <w:pPr>
              <w:autoSpaceDE w:val="0"/>
              <w:autoSpaceDN w:val="0"/>
              <w:adjustRightInd w:val="0"/>
              <w:spacing w:after="0" w:line="240" w:lineRule="auto"/>
              <w:rPr>
                <w:rFonts w:cstheme="minorHAnsi"/>
                <w:bCs/>
                <w:iCs/>
                <w:sz w:val="20"/>
                <w:szCs w:val="20"/>
              </w:rPr>
            </w:pPr>
            <w:r w:rsidRPr="001941B0">
              <w:rPr>
                <w:rFonts w:cstheme="minorHAnsi"/>
                <w:bCs/>
                <w:iCs/>
                <w:sz w:val="20"/>
                <w:szCs w:val="20"/>
              </w:rPr>
              <w:t>Uwagi RCL mają charakter nadrzędny</w:t>
            </w:r>
            <w:r w:rsidR="0041144B" w:rsidRPr="001941B0">
              <w:rPr>
                <w:rFonts w:cstheme="minorHAnsi"/>
                <w:bCs/>
                <w:iCs/>
                <w:sz w:val="20"/>
                <w:szCs w:val="20"/>
              </w:rPr>
              <w:t xml:space="preserve"> w zakresie terminów udostępnienia/wejścia w życie przepisów.</w:t>
            </w:r>
          </w:p>
        </w:tc>
      </w:tr>
      <w:tr w:rsidR="00FC7212" w:rsidRPr="001941B0" w14:paraId="20E9E3FE" w14:textId="77777777" w:rsidTr="7139DBB9">
        <w:tc>
          <w:tcPr>
            <w:tcW w:w="1125" w:type="dxa"/>
            <w:shd w:val="clear" w:color="auto" w:fill="FFFFFF" w:themeFill="background1"/>
          </w:tcPr>
          <w:p w14:paraId="179BD735" w14:textId="77777777" w:rsidR="00150E1C" w:rsidRPr="001941B0" w:rsidRDefault="00150E1C"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09BDA41" w14:textId="44F2C69E" w:rsidR="00150E1C" w:rsidRPr="001941B0" w:rsidRDefault="00150E1C"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32111FDD" w14:textId="612B54D5" w:rsidR="00150E1C" w:rsidRPr="001941B0" w:rsidRDefault="00150E1C" w:rsidP="00F33F0D">
            <w:pPr>
              <w:autoSpaceDE w:val="0"/>
              <w:autoSpaceDN w:val="0"/>
              <w:adjustRightInd w:val="0"/>
              <w:spacing w:after="0" w:line="240" w:lineRule="auto"/>
              <w:rPr>
                <w:rFonts w:cs="Calibri"/>
                <w:sz w:val="20"/>
                <w:szCs w:val="20"/>
              </w:rPr>
            </w:pPr>
            <w:r w:rsidRPr="001941B0">
              <w:rPr>
                <w:rFonts w:cs="Calibri"/>
                <w:sz w:val="20"/>
                <w:szCs w:val="20"/>
              </w:rPr>
              <w:t xml:space="preserve">Art. 5 pkt 12 </w:t>
            </w:r>
            <w:r w:rsidR="008E739B" w:rsidRPr="001941B0">
              <w:rPr>
                <w:rFonts w:cs="Calibri"/>
                <w:sz w:val="20"/>
                <w:szCs w:val="20"/>
              </w:rPr>
              <w:t xml:space="preserve">lit. </w:t>
            </w:r>
            <w:r w:rsidR="001F0517" w:rsidRPr="001941B0">
              <w:rPr>
                <w:rFonts w:cs="Calibri"/>
                <w:sz w:val="20"/>
                <w:szCs w:val="20"/>
              </w:rPr>
              <w:t>A</w:t>
            </w:r>
          </w:p>
          <w:p w14:paraId="1412B5D8" w14:textId="77777777" w:rsidR="001F0517" w:rsidRPr="001941B0" w:rsidRDefault="001F0517" w:rsidP="00F33F0D">
            <w:pPr>
              <w:autoSpaceDE w:val="0"/>
              <w:autoSpaceDN w:val="0"/>
              <w:adjustRightInd w:val="0"/>
              <w:spacing w:after="0" w:line="240" w:lineRule="auto"/>
              <w:rPr>
                <w:rFonts w:cs="Calibri"/>
                <w:sz w:val="20"/>
                <w:szCs w:val="20"/>
              </w:rPr>
            </w:pPr>
          </w:p>
          <w:p w14:paraId="0610CCD4" w14:textId="01095E60" w:rsidR="00150E1C" w:rsidRPr="001941B0" w:rsidRDefault="00150E1C" w:rsidP="00F33F0D">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1F92525C" w14:textId="5150A808" w:rsidR="007220D1" w:rsidRPr="001941B0" w:rsidRDefault="007220D1" w:rsidP="007220D1">
            <w:pPr>
              <w:autoSpaceDE w:val="0"/>
              <w:autoSpaceDN w:val="0"/>
              <w:adjustRightInd w:val="0"/>
              <w:spacing w:after="0" w:line="240" w:lineRule="auto"/>
              <w:rPr>
                <w:rFonts w:eastAsiaTheme="minorEastAsia"/>
                <w:sz w:val="20"/>
                <w:szCs w:val="20"/>
              </w:rPr>
            </w:pPr>
            <w:r w:rsidRPr="001941B0">
              <w:rPr>
                <w:rFonts w:eastAsiaTheme="minorEastAsia"/>
                <w:sz w:val="20"/>
                <w:szCs w:val="20"/>
              </w:rPr>
              <w:t>16. Zgodnie z art. 17 ust. 2 pkt 4b ustawy o systemie informacji w ochronie</w:t>
            </w:r>
            <w:r w:rsidR="00006DF7" w:rsidRPr="001941B0">
              <w:rPr>
                <w:rFonts w:eastAsiaTheme="minorEastAsia"/>
                <w:sz w:val="20"/>
                <w:szCs w:val="20"/>
              </w:rPr>
              <w:t xml:space="preserve"> </w:t>
            </w:r>
            <w:r w:rsidRPr="001941B0">
              <w:rPr>
                <w:rFonts w:eastAsiaTheme="minorEastAsia"/>
                <w:sz w:val="20"/>
                <w:szCs w:val="20"/>
              </w:rPr>
              <w:t>zdrowia, w Centralnym Wykazie Pracowników Medycznych w ramach przypisanego</w:t>
            </w:r>
            <w:r w:rsidR="00006DF7" w:rsidRPr="001941B0">
              <w:rPr>
                <w:rFonts w:eastAsiaTheme="minorEastAsia"/>
                <w:sz w:val="20"/>
                <w:szCs w:val="20"/>
              </w:rPr>
              <w:t xml:space="preserve"> </w:t>
            </w:r>
            <w:r w:rsidRPr="001941B0">
              <w:rPr>
                <w:rFonts w:eastAsiaTheme="minorEastAsia"/>
                <w:sz w:val="20"/>
                <w:szCs w:val="20"/>
              </w:rPr>
              <w:t>pracownikowi identyfikatora zostaną dodane informacje o dacie utraty uprawnienia do</w:t>
            </w:r>
          </w:p>
          <w:p w14:paraId="35606279" w14:textId="70CBA12E" w:rsidR="007220D1" w:rsidRPr="001941B0" w:rsidRDefault="007220D1" w:rsidP="007220D1">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wykonywania zawodu medycznego wraz z podaniem przyczyny, informacje o</w:t>
            </w:r>
            <w:r w:rsidR="00006DF7" w:rsidRPr="001941B0">
              <w:rPr>
                <w:rFonts w:eastAsiaTheme="minorEastAsia"/>
                <w:sz w:val="20"/>
                <w:szCs w:val="20"/>
              </w:rPr>
              <w:t xml:space="preserve"> </w:t>
            </w:r>
            <w:r w:rsidRPr="001941B0">
              <w:rPr>
                <w:rFonts w:eastAsiaTheme="minorEastAsia"/>
                <w:sz w:val="20"/>
                <w:szCs w:val="20"/>
              </w:rPr>
              <w:t>tymczasowym zawieszeniu uprawnienia do wykonywania zawodu medycznego albo o</w:t>
            </w:r>
            <w:r w:rsidR="00006DF7" w:rsidRPr="001941B0">
              <w:rPr>
                <w:rFonts w:eastAsiaTheme="minorEastAsia"/>
                <w:sz w:val="20"/>
                <w:szCs w:val="20"/>
              </w:rPr>
              <w:t xml:space="preserve"> </w:t>
            </w:r>
            <w:r w:rsidRPr="001941B0">
              <w:rPr>
                <w:rFonts w:eastAsiaTheme="minorEastAsia"/>
                <w:sz w:val="20"/>
                <w:szCs w:val="20"/>
              </w:rPr>
              <w:t>ograniczeniu zakresu czynności w jego wykonywaniu oraz o dacie zgonu lub dacie</w:t>
            </w:r>
          </w:p>
          <w:p w14:paraId="328D35F7" w14:textId="4CF40395" w:rsidR="007220D1" w:rsidRPr="001941B0" w:rsidRDefault="007220D1" w:rsidP="007220D1">
            <w:pPr>
              <w:autoSpaceDE w:val="0"/>
              <w:autoSpaceDN w:val="0"/>
              <w:adjustRightInd w:val="0"/>
              <w:spacing w:after="0" w:line="240" w:lineRule="auto"/>
              <w:rPr>
                <w:rFonts w:eastAsiaTheme="minorEastAsia"/>
                <w:sz w:val="20"/>
                <w:szCs w:val="20"/>
              </w:rPr>
            </w:pPr>
            <w:r w:rsidRPr="001941B0">
              <w:rPr>
                <w:rFonts w:eastAsiaTheme="minorEastAsia"/>
                <w:sz w:val="20"/>
                <w:szCs w:val="20"/>
              </w:rPr>
              <w:t>znalezienia zwłok. Zgodnie zaś z nowym brzmieniem art. 17 ust. 6 ustawy o systemie</w:t>
            </w:r>
            <w:r w:rsidR="00006DF7" w:rsidRPr="001941B0">
              <w:rPr>
                <w:rFonts w:eastAsiaTheme="minorEastAsia"/>
                <w:sz w:val="20"/>
                <w:szCs w:val="20"/>
              </w:rPr>
              <w:t xml:space="preserve"> </w:t>
            </w:r>
            <w:r w:rsidRPr="001941B0">
              <w:rPr>
                <w:rFonts w:eastAsiaTheme="minorEastAsia"/>
                <w:sz w:val="20"/>
                <w:szCs w:val="20"/>
              </w:rPr>
              <w:t>informacji w ochronie zdrowia: „Minister właściwy do spraw zdrowia przekazuje datę zgonu</w:t>
            </w:r>
            <w:r w:rsidR="00006DF7" w:rsidRPr="001941B0">
              <w:rPr>
                <w:rFonts w:eastAsiaTheme="minorEastAsia"/>
                <w:sz w:val="20"/>
                <w:szCs w:val="20"/>
              </w:rPr>
              <w:t xml:space="preserve"> </w:t>
            </w:r>
            <w:r w:rsidRPr="001941B0">
              <w:rPr>
                <w:rFonts w:eastAsiaTheme="minorEastAsia"/>
                <w:sz w:val="20"/>
                <w:szCs w:val="20"/>
              </w:rPr>
              <w:t>albo datę znalezienia zwłok pracownika medycznego, o którym mowa w ust. 1, do</w:t>
            </w:r>
            <w:r w:rsidR="00006DF7" w:rsidRPr="001941B0">
              <w:rPr>
                <w:rFonts w:eastAsiaTheme="minorEastAsia"/>
                <w:sz w:val="20"/>
                <w:szCs w:val="20"/>
              </w:rPr>
              <w:t xml:space="preserve"> </w:t>
            </w:r>
            <w:r w:rsidRPr="001941B0">
              <w:rPr>
                <w:rFonts w:eastAsiaTheme="minorEastAsia"/>
                <w:sz w:val="20"/>
                <w:szCs w:val="20"/>
              </w:rPr>
              <w:t>podmiotów prowadzących rejestry pracowników</w:t>
            </w:r>
            <w:r w:rsidR="00D838A6" w:rsidRPr="001941B0">
              <w:rPr>
                <w:rFonts w:eastAsiaTheme="minorEastAsia"/>
                <w:sz w:val="20"/>
                <w:szCs w:val="20"/>
              </w:rPr>
              <w:t xml:space="preserve"> </w:t>
            </w:r>
            <w:r w:rsidRPr="001941B0">
              <w:rPr>
                <w:rFonts w:eastAsiaTheme="minorEastAsia"/>
                <w:sz w:val="20"/>
                <w:szCs w:val="20"/>
              </w:rPr>
              <w:t>medycznych.”.</w:t>
            </w:r>
            <w:r w:rsidR="00006DF7" w:rsidRPr="001941B0">
              <w:rPr>
                <w:rFonts w:eastAsiaTheme="minorEastAsia"/>
                <w:sz w:val="20"/>
                <w:szCs w:val="20"/>
              </w:rPr>
              <w:t xml:space="preserve"> </w:t>
            </w:r>
            <w:r w:rsidRPr="001941B0">
              <w:rPr>
                <w:rFonts w:eastAsiaTheme="minorEastAsia"/>
                <w:sz w:val="20"/>
                <w:szCs w:val="20"/>
              </w:rPr>
              <w:t>W pierwszej kolejności należy wskazać, że z art. 17 ust. 6 ustawy o systemie</w:t>
            </w:r>
            <w:r w:rsidR="00D838A6" w:rsidRPr="001941B0">
              <w:rPr>
                <w:rFonts w:eastAsiaTheme="minorEastAsia"/>
                <w:sz w:val="20"/>
                <w:szCs w:val="20"/>
              </w:rPr>
              <w:t xml:space="preserve"> </w:t>
            </w:r>
            <w:r w:rsidRPr="001941B0">
              <w:rPr>
                <w:rFonts w:eastAsiaTheme="minorEastAsia"/>
                <w:sz w:val="20"/>
                <w:szCs w:val="20"/>
              </w:rPr>
              <w:t>informacji w ochronie zdrowia nie wynika jakie będzie źródło danych, z których</w:t>
            </w:r>
            <w:r w:rsidR="00D838A6" w:rsidRPr="001941B0">
              <w:rPr>
                <w:rFonts w:eastAsiaTheme="minorEastAsia"/>
                <w:sz w:val="20"/>
                <w:szCs w:val="20"/>
              </w:rPr>
              <w:t xml:space="preserve"> </w:t>
            </w:r>
            <w:r w:rsidRPr="001941B0">
              <w:rPr>
                <w:rFonts w:eastAsiaTheme="minorEastAsia"/>
                <w:sz w:val="20"/>
                <w:szCs w:val="20"/>
              </w:rPr>
              <w:t>Minister Zdrowia pozyska informacje o dacie zgonu lub dacie znalezienia zwłok.</w:t>
            </w:r>
            <w:r w:rsidR="00D838A6" w:rsidRPr="001941B0">
              <w:rPr>
                <w:rFonts w:eastAsiaTheme="minorEastAsia"/>
                <w:sz w:val="20"/>
                <w:szCs w:val="20"/>
              </w:rPr>
              <w:t xml:space="preserve"> </w:t>
            </w:r>
            <w:r w:rsidRPr="001941B0">
              <w:rPr>
                <w:rFonts w:eastAsiaTheme="minorEastAsia"/>
                <w:sz w:val="20"/>
                <w:szCs w:val="20"/>
              </w:rPr>
              <w:t>Jeśli miałby to być Centralny Rejestr Osób Uprawnionych do Wykonywania Zawodu</w:t>
            </w:r>
            <w:r w:rsidR="00D838A6" w:rsidRPr="001941B0">
              <w:rPr>
                <w:rFonts w:eastAsiaTheme="minorEastAsia"/>
                <w:sz w:val="20"/>
                <w:szCs w:val="20"/>
              </w:rPr>
              <w:t xml:space="preserve"> </w:t>
            </w:r>
            <w:r w:rsidRPr="001941B0">
              <w:rPr>
                <w:rFonts w:eastAsiaTheme="minorEastAsia"/>
                <w:sz w:val="20"/>
                <w:szCs w:val="20"/>
              </w:rPr>
              <w:t>Medycznego, o którym mowa w art. 4 ustawy z dnia 17 sierpnia 2023 r. o niektórych</w:t>
            </w:r>
            <w:r w:rsidR="00D838A6" w:rsidRPr="001941B0">
              <w:rPr>
                <w:rFonts w:eastAsiaTheme="minorEastAsia"/>
                <w:sz w:val="20"/>
                <w:szCs w:val="20"/>
              </w:rPr>
              <w:t xml:space="preserve"> </w:t>
            </w:r>
            <w:r w:rsidRPr="001941B0">
              <w:rPr>
                <w:rFonts w:eastAsiaTheme="minorEastAsia"/>
                <w:sz w:val="20"/>
                <w:szCs w:val="20"/>
              </w:rPr>
              <w:t>zawodach medycznych (Dz. U. z 2025 r. poz. 1730), to powinno to wprost wynikać z</w:t>
            </w:r>
            <w:r w:rsidR="00D838A6" w:rsidRPr="001941B0">
              <w:rPr>
                <w:rFonts w:eastAsiaTheme="minorEastAsia"/>
                <w:sz w:val="20"/>
                <w:szCs w:val="20"/>
              </w:rPr>
              <w:t xml:space="preserve"> </w:t>
            </w:r>
            <w:r w:rsidRPr="001941B0">
              <w:rPr>
                <w:rFonts w:eastAsiaTheme="minorEastAsia"/>
                <w:sz w:val="20"/>
                <w:szCs w:val="20"/>
              </w:rPr>
              <w:t>przepisów ustawy.</w:t>
            </w:r>
          </w:p>
          <w:p w14:paraId="29EC92F8" w14:textId="3A996DE4" w:rsidR="007220D1" w:rsidRPr="001941B0" w:rsidRDefault="007220D1" w:rsidP="007220D1">
            <w:pPr>
              <w:autoSpaceDE w:val="0"/>
              <w:autoSpaceDN w:val="0"/>
              <w:adjustRightInd w:val="0"/>
              <w:spacing w:after="0" w:line="240" w:lineRule="auto"/>
              <w:rPr>
                <w:rFonts w:eastAsiaTheme="minorEastAsia"/>
                <w:sz w:val="20"/>
                <w:szCs w:val="20"/>
              </w:rPr>
            </w:pPr>
            <w:r w:rsidRPr="001941B0">
              <w:rPr>
                <w:rFonts w:eastAsiaTheme="minorEastAsia"/>
                <w:sz w:val="20"/>
                <w:szCs w:val="20"/>
              </w:rPr>
              <w:t>Informacje o dacie utraty uprawnienia do wykonywania zawodu medycznego wraz z</w:t>
            </w:r>
            <w:r w:rsidR="00D838A6" w:rsidRPr="001941B0">
              <w:rPr>
                <w:rFonts w:eastAsiaTheme="minorEastAsia"/>
                <w:sz w:val="20"/>
                <w:szCs w:val="20"/>
              </w:rPr>
              <w:t xml:space="preserve"> </w:t>
            </w:r>
            <w:r w:rsidRPr="001941B0">
              <w:rPr>
                <w:rFonts w:eastAsiaTheme="minorEastAsia"/>
                <w:sz w:val="20"/>
                <w:szCs w:val="20"/>
              </w:rPr>
              <w:t>podaniem przyczyny, informacje o</w:t>
            </w:r>
            <w:r w:rsidR="00D838A6" w:rsidRPr="001941B0">
              <w:rPr>
                <w:rFonts w:eastAsiaTheme="minorEastAsia"/>
                <w:sz w:val="20"/>
                <w:szCs w:val="20"/>
              </w:rPr>
              <w:t xml:space="preserve"> </w:t>
            </w:r>
            <w:r w:rsidRPr="001941B0">
              <w:rPr>
                <w:rFonts w:eastAsiaTheme="minorEastAsia"/>
                <w:sz w:val="20"/>
                <w:szCs w:val="20"/>
              </w:rPr>
              <w:t>tymczasowym zawieszeniu uprawnienia do</w:t>
            </w:r>
            <w:r w:rsidR="00D838A6" w:rsidRPr="001941B0">
              <w:rPr>
                <w:rFonts w:eastAsiaTheme="minorEastAsia"/>
                <w:sz w:val="20"/>
                <w:szCs w:val="20"/>
              </w:rPr>
              <w:t xml:space="preserve"> </w:t>
            </w:r>
            <w:r w:rsidRPr="001941B0">
              <w:rPr>
                <w:rFonts w:eastAsiaTheme="minorEastAsia"/>
                <w:sz w:val="20"/>
                <w:szCs w:val="20"/>
              </w:rPr>
              <w:t>wykonywania zawodu medycznego albo o ograniczeniu zakresu czynności w jego</w:t>
            </w:r>
          </w:p>
          <w:p w14:paraId="65DC2748" w14:textId="54D218C3" w:rsidR="007220D1" w:rsidRPr="001941B0" w:rsidRDefault="007220D1" w:rsidP="007220D1">
            <w:pPr>
              <w:autoSpaceDE w:val="0"/>
              <w:autoSpaceDN w:val="0"/>
              <w:adjustRightInd w:val="0"/>
              <w:spacing w:after="0" w:line="240" w:lineRule="auto"/>
              <w:rPr>
                <w:rFonts w:eastAsiaTheme="minorEastAsia"/>
                <w:sz w:val="20"/>
                <w:szCs w:val="20"/>
              </w:rPr>
            </w:pPr>
            <w:r w:rsidRPr="001941B0">
              <w:rPr>
                <w:rFonts w:eastAsiaTheme="minorEastAsia"/>
                <w:sz w:val="20"/>
                <w:szCs w:val="20"/>
              </w:rPr>
              <w:t>wykonywaniu oraz dacie zgonu lub dacie znalezienia zwłok, o których mowa w</w:t>
            </w:r>
            <w:r w:rsidR="00D838A6" w:rsidRPr="001941B0">
              <w:rPr>
                <w:rFonts w:eastAsiaTheme="minorEastAsia"/>
                <w:sz w:val="20"/>
                <w:szCs w:val="20"/>
              </w:rPr>
              <w:t xml:space="preserve"> </w:t>
            </w:r>
            <w:r w:rsidRPr="001941B0">
              <w:rPr>
                <w:rFonts w:eastAsiaTheme="minorEastAsia"/>
                <w:sz w:val="20"/>
                <w:szCs w:val="20"/>
              </w:rPr>
              <w:t>zmienianym art. 17 ust. 2 pkt 4b, mają wysoce sensytywny charakter, a będą one</w:t>
            </w:r>
            <w:r w:rsidR="00D838A6" w:rsidRPr="001941B0">
              <w:rPr>
                <w:rFonts w:eastAsiaTheme="minorEastAsia"/>
                <w:sz w:val="20"/>
                <w:szCs w:val="20"/>
              </w:rPr>
              <w:t xml:space="preserve"> </w:t>
            </w:r>
            <w:r w:rsidRPr="001941B0">
              <w:rPr>
                <w:rFonts w:eastAsiaTheme="minorEastAsia"/>
                <w:sz w:val="20"/>
                <w:szCs w:val="20"/>
              </w:rPr>
              <w:t>powiązane z identyfikatorem pracownika medycznego. Powstaje więc pytanie czy</w:t>
            </w:r>
            <w:r w:rsidR="00D838A6" w:rsidRPr="001941B0">
              <w:rPr>
                <w:rFonts w:eastAsiaTheme="minorEastAsia"/>
                <w:sz w:val="20"/>
                <w:szCs w:val="20"/>
              </w:rPr>
              <w:t xml:space="preserve"> </w:t>
            </w:r>
            <w:r w:rsidRPr="001941B0">
              <w:rPr>
                <w:rFonts w:eastAsiaTheme="minorEastAsia"/>
                <w:sz w:val="20"/>
                <w:szCs w:val="20"/>
              </w:rPr>
              <w:t>projektodawca przeanalizował wpływ tego rozwiązania na jawność danych</w:t>
            </w:r>
            <w:r w:rsidR="00D838A6" w:rsidRPr="001941B0">
              <w:rPr>
                <w:rFonts w:eastAsiaTheme="minorEastAsia"/>
                <w:sz w:val="20"/>
                <w:szCs w:val="20"/>
              </w:rPr>
              <w:t xml:space="preserve"> </w:t>
            </w:r>
            <w:r w:rsidRPr="001941B0">
              <w:rPr>
                <w:rFonts w:eastAsiaTheme="minorEastAsia"/>
                <w:sz w:val="20"/>
                <w:szCs w:val="20"/>
              </w:rPr>
              <w:t>zawartych Centralnym Wykazie Pracowników Medycznych określoną w art. 4 ust. 3</w:t>
            </w:r>
            <w:r w:rsidR="00D838A6" w:rsidRPr="001941B0">
              <w:rPr>
                <w:rFonts w:eastAsiaTheme="minorEastAsia"/>
                <w:sz w:val="20"/>
                <w:szCs w:val="20"/>
              </w:rPr>
              <w:t xml:space="preserve"> </w:t>
            </w:r>
            <w:r w:rsidRPr="001941B0">
              <w:rPr>
                <w:rFonts w:eastAsiaTheme="minorEastAsia"/>
                <w:sz w:val="20"/>
                <w:szCs w:val="20"/>
              </w:rPr>
              <w:t>ustawy o niektórych zawodach medycznych. Wyjaśnienie i ponowna analiza niezbędności</w:t>
            </w:r>
            <w:r w:rsidR="003E490B" w:rsidRPr="001941B0">
              <w:rPr>
                <w:rFonts w:eastAsiaTheme="minorEastAsia"/>
                <w:sz w:val="20"/>
                <w:szCs w:val="20"/>
              </w:rPr>
              <w:t xml:space="preserve"> </w:t>
            </w:r>
            <w:r w:rsidRPr="001941B0">
              <w:rPr>
                <w:rFonts w:eastAsiaTheme="minorEastAsia"/>
                <w:sz w:val="20"/>
                <w:szCs w:val="20"/>
              </w:rPr>
              <w:t>przyjmowania takich rozwiązań są konieczne dla zachowania zasady zgodności z</w:t>
            </w:r>
            <w:r w:rsidR="00D838A6" w:rsidRPr="001941B0">
              <w:rPr>
                <w:rFonts w:eastAsiaTheme="minorEastAsia"/>
                <w:sz w:val="20"/>
                <w:szCs w:val="20"/>
              </w:rPr>
              <w:t xml:space="preserve"> </w:t>
            </w:r>
            <w:r w:rsidRPr="001941B0">
              <w:rPr>
                <w:rFonts w:eastAsiaTheme="minorEastAsia"/>
                <w:sz w:val="20"/>
                <w:szCs w:val="20"/>
              </w:rPr>
              <w:t>prawem, rzetelności i przejrzystości, ograniczenia celu, minimalizacji danych, poufności i</w:t>
            </w:r>
            <w:r w:rsidR="003E490B" w:rsidRPr="001941B0">
              <w:rPr>
                <w:rFonts w:eastAsiaTheme="minorEastAsia"/>
                <w:sz w:val="20"/>
                <w:szCs w:val="20"/>
              </w:rPr>
              <w:t xml:space="preserve"> </w:t>
            </w:r>
            <w:r w:rsidRPr="001941B0">
              <w:rPr>
                <w:rFonts w:eastAsiaTheme="minorEastAsia"/>
                <w:sz w:val="20"/>
                <w:szCs w:val="20"/>
              </w:rPr>
              <w:t>integralności oraz rozliczalności.</w:t>
            </w:r>
            <w:r w:rsidR="00D838A6" w:rsidRPr="001941B0">
              <w:rPr>
                <w:rFonts w:eastAsiaTheme="minorEastAsia"/>
                <w:sz w:val="20"/>
                <w:szCs w:val="20"/>
              </w:rPr>
              <w:t xml:space="preserve"> </w:t>
            </w:r>
            <w:r w:rsidRPr="001941B0">
              <w:rPr>
                <w:rFonts w:eastAsiaTheme="minorEastAsia"/>
                <w:sz w:val="20"/>
                <w:szCs w:val="20"/>
              </w:rPr>
              <w:t xml:space="preserve">Obecnie </w:t>
            </w:r>
            <w:r w:rsidRPr="001941B0">
              <w:rPr>
                <w:rFonts w:eastAsiaTheme="minorEastAsia"/>
                <w:sz w:val="20"/>
                <w:szCs w:val="20"/>
              </w:rPr>
              <w:lastRenderedPageBreak/>
              <w:t>toczą się dyskusje środowisk medycznych na temat jawności danych</w:t>
            </w:r>
          </w:p>
          <w:p w14:paraId="2BD7665F" w14:textId="0F2BBA87" w:rsidR="007220D1" w:rsidRPr="001941B0" w:rsidRDefault="007220D1" w:rsidP="007220D1">
            <w:pPr>
              <w:autoSpaceDE w:val="0"/>
              <w:autoSpaceDN w:val="0"/>
              <w:adjustRightInd w:val="0"/>
              <w:spacing w:after="0" w:line="240" w:lineRule="auto"/>
              <w:rPr>
                <w:rFonts w:eastAsiaTheme="minorEastAsia"/>
                <w:sz w:val="20"/>
                <w:szCs w:val="20"/>
              </w:rPr>
            </w:pPr>
            <w:r w:rsidRPr="001941B0">
              <w:rPr>
                <w:rFonts w:eastAsiaTheme="minorEastAsia"/>
                <w:sz w:val="20"/>
                <w:szCs w:val="20"/>
              </w:rPr>
              <w:t>pracowników medycznych i jej konsekwencji dla zapewnienia bezpieczeństwa tym</w:t>
            </w:r>
            <w:r w:rsidR="00D838A6" w:rsidRPr="001941B0">
              <w:rPr>
                <w:rFonts w:eastAsiaTheme="minorEastAsia"/>
                <w:sz w:val="20"/>
                <w:szCs w:val="20"/>
              </w:rPr>
              <w:t xml:space="preserve"> </w:t>
            </w:r>
            <w:r w:rsidRPr="001941B0">
              <w:rPr>
                <w:rFonts w:eastAsiaTheme="minorEastAsia"/>
                <w:sz w:val="20"/>
                <w:szCs w:val="20"/>
              </w:rPr>
              <w:t>osobom</w:t>
            </w:r>
            <w:r w:rsidR="004C2062" w:rsidRPr="001941B0">
              <w:rPr>
                <w:rStyle w:val="Odwoanieprzypisudolnego"/>
                <w:rFonts w:eastAsiaTheme="minorEastAsia"/>
                <w:sz w:val="20"/>
                <w:szCs w:val="20"/>
              </w:rPr>
              <w:footnoteReference w:id="18"/>
            </w:r>
            <w:r w:rsidR="004C2062" w:rsidRPr="001941B0">
              <w:rPr>
                <w:rFonts w:eastAsiaTheme="minorEastAsia"/>
                <w:sz w:val="20"/>
                <w:szCs w:val="20"/>
              </w:rPr>
              <w:t>.</w:t>
            </w:r>
            <w:r w:rsidRPr="001941B0">
              <w:rPr>
                <w:rFonts w:eastAsiaTheme="minorEastAsia"/>
                <w:sz w:val="20"/>
                <w:szCs w:val="20"/>
              </w:rPr>
              <w:t xml:space="preserve"> Poszerzanie zakresu Centralnego Wykazu Pracowników Medycznych przy</w:t>
            </w:r>
            <w:r w:rsidR="004C2062" w:rsidRPr="001941B0">
              <w:rPr>
                <w:rFonts w:eastAsiaTheme="minorEastAsia"/>
                <w:sz w:val="20"/>
                <w:szCs w:val="20"/>
              </w:rPr>
              <w:t xml:space="preserve"> </w:t>
            </w:r>
            <w:r w:rsidRPr="001941B0">
              <w:rPr>
                <w:rFonts w:eastAsiaTheme="minorEastAsia"/>
                <w:sz w:val="20"/>
                <w:szCs w:val="20"/>
              </w:rPr>
              <w:t>obecnym modelu jego jawności musi poprzedzać analiza konsekwencji dla praw osób,</w:t>
            </w:r>
          </w:p>
          <w:p w14:paraId="4D8E92FE" w14:textId="017F257B" w:rsidR="00150E1C" w:rsidRPr="001941B0" w:rsidRDefault="007220D1" w:rsidP="007220D1">
            <w:pPr>
              <w:autoSpaceDE w:val="0"/>
              <w:autoSpaceDN w:val="0"/>
              <w:adjustRightInd w:val="0"/>
              <w:spacing w:after="0" w:line="240" w:lineRule="auto"/>
              <w:rPr>
                <w:rFonts w:eastAsiaTheme="minorEastAsia"/>
                <w:sz w:val="20"/>
                <w:szCs w:val="20"/>
              </w:rPr>
            </w:pPr>
            <w:r w:rsidRPr="001941B0">
              <w:rPr>
                <w:rFonts w:eastAsiaTheme="minorEastAsia"/>
                <w:sz w:val="20"/>
                <w:szCs w:val="20"/>
              </w:rPr>
              <w:t>których dane dotyczą oraz wykazanie niezbędności takich działań.</w:t>
            </w:r>
          </w:p>
        </w:tc>
        <w:tc>
          <w:tcPr>
            <w:tcW w:w="2855" w:type="dxa"/>
            <w:shd w:val="clear" w:color="auto" w:fill="FFFFFF" w:themeFill="background1"/>
          </w:tcPr>
          <w:p w14:paraId="732085AA" w14:textId="7EA3634A" w:rsidR="00150E1C" w:rsidRPr="001941B0" w:rsidRDefault="009C4FDC" w:rsidP="00F33F0D">
            <w:pPr>
              <w:autoSpaceDE w:val="0"/>
              <w:autoSpaceDN w:val="0"/>
              <w:adjustRightInd w:val="0"/>
              <w:spacing w:after="0" w:line="240" w:lineRule="auto"/>
              <w:rPr>
                <w:b/>
                <w:sz w:val="20"/>
                <w:szCs w:val="20"/>
              </w:rPr>
            </w:pPr>
            <w:r w:rsidRPr="001941B0">
              <w:rPr>
                <w:b/>
                <w:sz w:val="20"/>
                <w:szCs w:val="20"/>
              </w:rPr>
              <w:lastRenderedPageBreak/>
              <w:t>Wyjaśnienie</w:t>
            </w:r>
          </w:p>
          <w:p w14:paraId="71A9FA07" w14:textId="424962D2" w:rsidR="006107AF" w:rsidRPr="001941B0" w:rsidRDefault="00AB25A4" w:rsidP="00F33F0D">
            <w:pPr>
              <w:autoSpaceDE w:val="0"/>
              <w:autoSpaceDN w:val="0"/>
              <w:adjustRightInd w:val="0"/>
              <w:spacing w:after="0" w:line="240" w:lineRule="auto"/>
              <w:rPr>
                <w:rFonts w:cstheme="minorHAnsi"/>
                <w:bCs/>
                <w:iCs/>
                <w:sz w:val="20"/>
                <w:szCs w:val="20"/>
              </w:rPr>
            </w:pPr>
            <w:r w:rsidRPr="001941B0">
              <w:rPr>
                <w:rFonts w:cstheme="minorHAnsi"/>
                <w:bCs/>
                <w:iCs/>
                <w:sz w:val="20"/>
                <w:szCs w:val="20"/>
              </w:rPr>
              <w:t>Kwestie te s</w:t>
            </w:r>
            <w:r w:rsidR="006107AF" w:rsidRPr="001941B0">
              <w:rPr>
                <w:rFonts w:cstheme="minorHAnsi"/>
                <w:bCs/>
                <w:iCs/>
                <w:sz w:val="20"/>
                <w:szCs w:val="20"/>
              </w:rPr>
              <w:t xml:space="preserve">ą </w:t>
            </w:r>
            <w:r w:rsidR="003E490B" w:rsidRPr="001941B0">
              <w:rPr>
                <w:rFonts w:cstheme="minorHAnsi"/>
                <w:bCs/>
                <w:iCs/>
                <w:sz w:val="20"/>
                <w:szCs w:val="20"/>
              </w:rPr>
              <w:t>uregulowane</w:t>
            </w:r>
            <w:r w:rsidR="006107AF" w:rsidRPr="001941B0">
              <w:rPr>
                <w:rFonts w:cstheme="minorHAnsi"/>
                <w:bCs/>
                <w:iCs/>
                <w:sz w:val="20"/>
                <w:szCs w:val="20"/>
              </w:rPr>
              <w:t xml:space="preserve"> w odrębnych przepisach</w:t>
            </w:r>
            <w:r w:rsidRPr="001941B0">
              <w:rPr>
                <w:rFonts w:cstheme="minorHAnsi"/>
                <w:bCs/>
                <w:iCs/>
                <w:sz w:val="20"/>
                <w:szCs w:val="20"/>
              </w:rPr>
              <w:t>.</w:t>
            </w:r>
          </w:p>
        </w:tc>
      </w:tr>
      <w:tr w:rsidR="00FC7212" w:rsidRPr="001941B0" w14:paraId="52E8DCFA" w14:textId="77777777" w:rsidTr="7139DBB9">
        <w:tc>
          <w:tcPr>
            <w:tcW w:w="1125" w:type="dxa"/>
            <w:shd w:val="clear" w:color="auto" w:fill="FFFFFF" w:themeFill="background1"/>
          </w:tcPr>
          <w:p w14:paraId="7C5ACE0E" w14:textId="77777777" w:rsidR="003D29B5" w:rsidRPr="001941B0" w:rsidRDefault="003D29B5"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29FF37C" w14:textId="14D72B69" w:rsidR="003D29B5" w:rsidRPr="001941B0" w:rsidRDefault="003D29B5"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0D4CB464" w14:textId="31B1A9E3" w:rsidR="003D29B5" w:rsidRPr="001941B0" w:rsidRDefault="003D29B5" w:rsidP="00F33F0D">
            <w:pPr>
              <w:autoSpaceDE w:val="0"/>
              <w:autoSpaceDN w:val="0"/>
              <w:adjustRightInd w:val="0"/>
              <w:spacing w:after="0" w:line="240" w:lineRule="auto"/>
              <w:rPr>
                <w:rFonts w:cs="Calibri"/>
                <w:sz w:val="20"/>
                <w:szCs w:val="20"/>
              </w:rPr>
            </w:pPr>
            <w:r w:rsidRPr="001941B0">
              <w:rPr>
                <w:rFonts w:cs="Calibri"/>
                <w:sz w:val="20"/>
                <w:szCs w:val="20"/>
              </w:rPr>
              <w:t>Art. 5 pkt 13 lit. b</w:t>
            </w:r>
          </w:p>
        </w:tc>
        <w:tc>
          <w:tcPr>
            <w:tcW w:w="5652" w:type="dxa"/>
            <w:shd w:val="clear" w:color="auto" w:fill="FFFFFF" w:themeFill="background1"/>
          </w:tcPr>
          <w:p w14:paraId="463A8FC8" w14:textId="445EE6D8" w:rsidR="00C651AD" w:rsidRPr="001941B0" w:rsidRDefault="00C651AD" w:rsidP="00C651AD">
            <w:pPr>
              <w:autoSpaceDE w:val="0"/>
              <w:autoSpaceDN w:val="0"/>
              <w:adjustRightInd w:val="0"/>
              <w:spacing w:after="0" w:line="240" w:lineRule="auto"/>
              <w:rPr>
                <w:rFonts w:eastAsiaTheme="minorEastAsia"/>
                <w:sz w:val="20"/>
                <w:szCs w:val="20"/>
              </w:rPr>
            </w:pPr>
            <w:r w:rsidRPr="001941B0">
              <w:rPr>
                <w:rFonts w:eastAsiaTheme="minorEastAsia"/>
                <w:sz w:val="20"/>
                <w:szCs w:val="20"/>
              </w:rPr>
              <w:t>17. Zgodnie z art. 27 ust. 3 i 4 ustawy o systemie informacji w ochronie zdrowia: „3.</w:t>
            </w:r>
            <w:r w:rsidR="00C03F6E" w:rsidRPr="001941B0">
              <w:rPr>
                <w:rFonts w:eastAsiaTheme="minorEastAsia"/>
                <w:sz w:val="20"/>
                <w:szCs w:val="20"/>
              </w:rPr>
              <w:t xml:space="preserve"> </w:t>
            </w:r>
            <w:r w:rsidRPr="001941B0">
              <w:rPr>
                <w:rFonts w:eastAsiaTheme="minorEastAsia"/>
                <w:sz w:val="20"/>
                <w:szCs w:val="20"/>
              </w:rPr>
              <w:t>Administratorem danych przetwarzanych w Systemie Monitorowania Dostępności do</w:t>
            </w:r>
            <w:r w:rsidR="00C03F6E" w:rsidRPr="001941B0">
              <w:rPr>
                <w:rFonts w:eastAsiaTheme="minorEastAsia"/>
                <w:sz w:val="20"/>
                <w:szCs w:val="20"/>
              </w:rPr>
              <w:t xml:space="preserve"> </w:t>
            </w:r>
            <w:r w:rsidRPr="001941B0">
              <w:rPr>
                <w:rFonts w:eastAsiaTheme="minorEastAsia"/>
                <w:sz w:val="20"/>
                <w:szCs w:val="20"/>
              </w:rPr>
              <w:t>Świadczeń Opieki Zdrowotnej jest Narodowy Fundusz Zdrowia. 4. Administratorem</w:t>
            </w:r>
          </w:p>
          <w:p w14:paraId="65676ACE" w14:textId="4F8517BB" w:rsidR="00C651AD" w:rsidRPr="001941B0" w:rsidRDefault="00C651AD" w:rsidP="00C651AD">
            <w:pPr>
              <w:autoSpaceDE w:val="0"/>
              <w:autoSpaceDN w:val="0"/>
              <w:adjustRightInd w:val="0"/>
              <w:spacing w:after="0" w:line="240" w:lineRule="auto"/>
              <w:rPr>
                <w:rFonts w:eastAsiaTheme="minorEastAsia"/>
                <w:sz w:val="20"/>
                <w:szCs w:val="20"/>
              </w:rPr>
            </w:pPr>
            <w:r w:rsidRPr="001941B0">
              <w:rPr>
                <w:rFonts w:eastAsiaTheme="minorEastAsia"/>
                <w:sz w:val="20"/>
                <w:szCs w:val="20"/>
              </w:rPr>
              <w:t>systemu jest Narodowy Fundusz Zdrowia.”.</w:t>
            </w:r>
            <w:r w:rsidR="00C03F6E" w:rsidRPr="001941B0">
              <w:rPr>
                <w:rFonts w:eastAsiaTheme="minorEastAsia"/>
                <w:sz w:val="20"/>
                <w:szCs w:val="20"/>
              </w:rPr>
              <w:t xml:space="preserve"> </w:t>
            </w:r>
            <w:r w:rsidRPr="001941B0">
              <w:rPr>
                <w:rFonts w:eastAsiaTheme="minorEastAsia"/>
                <w:sz w:val="20"/>
                <w:szCs w:val="20"/>
              </w:rPr>
              <w:t>Z punktu widzenia rozporządzenia 2016/679 administratorem w rozumieniu art. 4</w:t>
            </w:r>
          </w:p>
          <w:p w14:paraId="52B119B9" w14:textId="795D7C75" w:rsidR="003D29B5" w:rsidRPr="001941B0" w:rsidRDefault="00C651AD" w:rsidP="00C651AD">
            <w:pPr>
              <w:autoSpaceDE w:val="0"/>
              <w:autoSpaceDN w:val="0"/>
              <w:adjustRightInd w:val="0"/>
              <w:spacing w:after="0" w:line="240" w:lineRule="auto"/>
              <w:rPr>
                <w:rFonts w:eastAsiaTheme="minorEastAsia"/>
                <w:sz w:val="20"/>
                <w:szCs w:val="20"/>
              </w:rPr>
            </w:pPr>
            <w:r w:rsidRPr="001941B0">
              <w:rPr>
                <w:rFonts w:eastAsiaTheme="minorEastAsia"/>
                <w:sz w:val="20"/>
                <w:szCs w:val="20"/>
              </w:rPr>
              <w:t>pkt 7 rozporządzenia 2016/67916 będzie zarówno (nazwani tak w przepisach)</w:t>
            </w:r>
            <w:r w:rsidR="00C03F6E" w:rsidRPr="001941B0">
              <w:rPr>
                <w:rFonts w:eastAsiaTheme="minorEastAsia"/>
                <w:sz w:val="20"/>
                <w:szCs w:val="20"/>
              </w:rPr>
              <w:t xml:space="preserve"> </w:t>
            </w:r>
            <w:r w:rsidRPr="001941B0">
              <w:rPr>
                <w:rFonts w:eastAsiaTheme="minorEastAsia"/>
                <w:sz w:val="20"/>
                <w:szCs w:val="20"/>
              </w:rPr>
              <w:t>„administrator systemu”, jak i „administrator” (danych). Powstaje więc pytanie o celowość</w:t>
            </w:r>
            <w:r w:rsidR="00C03F6E" w:rsidRPr="001941B0">
              <w:rPr>
                <w:rFonts w:eastAsiaTheme="minorEastAsia"/>
                <w:sz w:val="20"/>
                <w:szCs w:val="20"/>
              </w:rPr>
              <w:t xml:space="preserve"> </w:t>
            </w:r>
            <w:r w:rsidRPr="001941B0">
              <w:rPr>
                <w:rFonts w:eastAsiaTheme="minorEastAsia"/>
                <w:sz w:val="20"/>
                <w:szCs w:val="20"/>
              </w:rPr>
              <w:t>rozróżnienia tych dwóch ról w projektowanym przepisie, ale i konieczność rozróżnienia ról</w:t>
            </w:r>
            <w:r w:rsidR="00C03F6E" w:rsidRPr="001941B0">
              <w:rPr>
                <w:rFonts w:eastAsiaTheme="minorEastAsia"/>
                <w:sz w:val="20"/>
                <w:szCs w:val="20"/>
              </w:rPr>
              <w:t xml:space="preserve"> </w:t>
            </w:r>
            <w:r w:rsidRPr="001941B0">
              <w:rPr>
                <w:rFonts w:eastAsiaTheme="minorEastAsia"/>
                <w:sz w:val="20"/>
                <w:szCs w:val="20"/>
              </w:rPr>
              <w:t>tych podmiotów w procesach przetwarzania, działań na danych osobowych</w:t>
            </w:r>
            <w:r w:rsidR="00C03F6E" w:rsidRPr="001941B0">
              <w:rPr>
                <w:rFonts w:eastAsiaTheme="minorEastAsia"/>
                <w:sz w:val="20"/>
                <w:szCs w:val="20"/>
              </w:rPr>
              <w:t xml:space="preserve"> </w:t>
            </w:r>
            <w:r w:rsidRPr="001941B0">
              <w:rPr>
                <w:rFonts w:eastAsiaTheme="minorEastAsia"/>
                <w:sz w:val="20"/>
                <w:szCs w:val="20"/>
              </w:rPr>
              <w:t>determinowanych zadaniami przypisanymi poszczególnym podmiotom.</w:t>
            </w:r>
          </w:p>
        </w:tc>
        <w:tc>
          <w:tcPr>
            <w:tcW w:w="2855" w:type="dxa"/>
            <w:shd w:val="clear" w:color="auto" w:fill="FFFFFF" w:themeFill="background1"/>
          </w:tcPr>
          <w:p w14:paraId="6282D93C" w14:textId="6017F8C0" w:rsidR="009C4FDC" w:rsidRPr="001941B0" w:rsidRDefault="009C4FDC" w:rsidP="00F33F0D">
            <w:pPr>
              <w:autoSpaceDE w:val="0"/>
              <w:autoSpaceDN w:val="0"/>
              <w:adjustRightInd w:val="0"/>
              <w:spacing w:after="0" w:line="240" w:lineRule="auto"/>
              <w:rPr>
                <w:b/>
                <w:sz w:val="20"/>
                <w:szCs w:val="20"/>
              </w:rPr>
            </w:pPr>
            <w:r w:rsidRPr="001941B0">
              <w:rPr>
                <w:b/>
                <w:sz w:val="20"/>
                <w:szCs w:val="20"/>
              </w:rPr>
              <w:t>Wyjaśnienie</w:t>
            </w:r>
          </w:p>
          <w:p w14:paraId="3A924E4B" w14:textId="7E35D6E2" w:rsidR="00AB25A4" w:rsidRPr="001941B0" w:rsidRDefault="009C4FDC" w:rsidP="00F33F0D">
            <w:pPr>
              <w:autoSpaceDE w:val="0"/>
              <w:autoSpaceDN w:val="0"/>
              <w:adjustRightInd w:val="0"/>
              <w:spacing w:after="0" w:line="240" w:lineRule="auto"/>
              <w:rPr>
                <w:sz w:val="20"/>
                <w:szCs w:val="20"/>
              </w:rPr>
            </w:pPr>
            <w:r w:rsidRPr="001941B0">
              <w:rPr>
                <w:sz w:val="20"/>
                <w:szCs w:val="20"/>
              </w:rPr>
              <w:t>Zawsze jest</w:t>
            </w:r>
            <w:r w:rsidR="00E670C2" w:rsidRPr="001941B0">
              <w:rPr>
                <w:sz w:val="20"/>
                <w:szCs w:val="20"/>
              </w:rPr>
              <w:t xml:space="preserve"> to</w:t>
            </w:r>
            <w:r w:rsidRPr="001941B0">
              <w:rPr>
                <w:sz w:val="20"/>
                <w:szCs w:val="20"/>
              </w:rPr>
              <w:t xml:space="preserve"> administrator systemu – czasami jest to ten sam podmiot</w:t>
            </w:r>
            <w:r w:rsidR="00AB25A4" w:rsidRPr="001941B0">
              <w:rPr>
                <w:sz w:val="20"/>
                <w:szCs w:val="20"/>
              </w:rPr>
              <w:t xml:space="preserve"> co administrator danych</w:t>
            </w:r>
            <w:r w:rsidRPr="001941B0">
              <w:rPr>
                <w:sz w:val="20"/>
                <w:szCs w:val="20"/>
              </w:rPr>
              <w:t xml:space="preserve">. </w:t>
            </w:r>
          </w:p>
          <w:p w14:paraId="6F34AD4A" w14:textId="336D0213" w:rsidR="003D29B5" w:rsidRPr="001941B0" w:rsidRDefault="003D29B5" w:rsidP="00F33F0D">
            <w:pPr>
              <w:autoSpaceDE w:val="0"/>
              <w:autoSpaceDN w:val="0"/>
              <w:adjustRightInd w:val="0"/>
              <w:spacing w:after="0" w:line="240" w:lineRule="auto"/>
              <w:rPr>
                <w:rFonts w:cstheme="minorHAnsi"/>
                <w:bCs/>
                <w:iCs/>
                <w:sz w:val="20"/>
                <w:szCs w:val="20"/>
              </w:rPr>
            </w:pPr>
          </w:p>
        </w:tc>
      </w:tr>
      <w:tr w:rsidR="00FC7212" w:rsidRPr="001941B0" w14:paraId="415ED5D4" w14:textId="77777777" w:rsidTr="7139DBB9">
        <w:tc>
          <w:tcPr>
            <w:tcW w:w="1125" w:type="dxa"/>
            <w:shd w:val="clear" w:color="auto" w:fill="FFFFFF" w:themeFill="background1"/>
          </w:tcPr>
          <w:p w14:paraId="1B33AD13" w14:textId="77777777" w:rsidR="00C64386" w:rsidRPr="001941B0" w:rsidRDefault="00C64386"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88378DC" w14:textId="0FCDA86D" w:rsidR="00C64386" w:rsidRPr="001941B0" w:rsidRDefault="00C64386"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2A8585FD" w14:textId="2620612B" w:rsidR="00AD6220" w:rsidRPr="001941B0" w:rsidRDefault="00C64386" w:rsidP="00F33F0D">
            <w:pPr>
              <w:autoSpaceDE w:val="0"/>
              <w:autoSpaceDN w:val="0"/>
              <w:adjustRightInd w:val="0"/>
              <w:spacing w:after="0" w:line="240" w:lineRule="auto"/>
              <w:rPr>
                <w:rFonts w:cs="Calibri"/>
                <w:b/>
                <w:bCs/>
                <w:sz w:val="20"/>
                <w:szCs w:val="20"/>
              </w:rPr>
            </w:pPr>
            <w:r w:rsidRPr="001941B0">
              <w:rPr>
                <w:rFonts w:cs="Calibri"/>
                <w:sz w:val="20"/>
                <w:szCs w:val="20"/>
              </w:rPr>
              <w:t xml:space="preserve">Art. 5 pkt 17 </w:t>
            </w:r>
          </w:p>
          <w:p w14:paraId="56C06A49" w14:textId="04D939C3" w:rsidR="00C64386" w:rsidRPr="001941B0" w:rsidRDefault="00C64386" w:rsidP="00F33F0D">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1BE5CA47" w14:textId="3D4A354A" w:rsidR="009A45CE" w:rsidRPr="001941B0" w:rsidRDefault="009A45CE" w:rsidP="009A45CE">
            <w:pPr>
              <w:autoSpaceDE w:val="0"/>
              <w:autoSpaceDN w:val="0"/>
              <w:adjustRightInd w:val="0"/>
              <w:spacing w:after="0" w:line="240" w:lineRule="auto"/>
              <w:rPr>
                <w:rFonts w:eastAsiaTheme="minorEastAsia"/>
                <w:sz w:val="20"/>
                <w:szCs w:val="20"/>
              </w:rPr>
            </w:pPr>
            <w:r w:rsidRPr="001941B0">
              <w:rPr>
                <w:rFonts w:eastAsiaTheme="minorEastAsia"/>
                <w:sz w:val="20"/>
                <w:szCs w:val="20"/>
              </w:rPr>
              <w:t>18. Zgodnie z art. 31d ustawy o systemie informacji w ochronie zdrowia zostanie utworzona Platforma Usług Inteligentnych. Zgodnie z projektowanym przepisem: „Platforma Usług Inteligentnych jest systemem teleinformatycznym, który umożliwia</w:t>
            </w:r>
          </w:p>
          <w:p w14:paraId="412AE61D" w14:textId="79C2ADFA" w:rsidR="009A45CE" w:rsidRPr="001941B0" w:rsidRDefault="009A45CE" w:rsidP="009A45CE">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usługodawcom będącym podmiotami leczniczymi prowadzącymi działalność leczniczą w rodzaju świadczenia szpitalne dostęp do certyfikowanych narzędzi wspomagających dokonywanie diagnostyki medycznej z </w:t>
            </w:r>
            <w:r w:rsidRPr="001941B0">
              <w:rPr>
                <w:rFonts w:eastAsiaTheme="minorEastAsia"/>
                <w:sz w:val="20"/>
                <w:szCs w:val="20"/>
              </w:rPr>
              <w:lastRenderedPageBreak/>
              <w:t>wykorzystaniem systemów i modeli sztucznej inteligencji, zwanych dalej „narzędziami wspomagającymi”.”. Po pierwsze, utworzenie Platformy Usług Inteligentnych wymaga przeprowadzenia pogłębionej analizy w ramach oceny skutków dla ochrony danych oraz oceny skutków systemów AI wysokiego ryzyka dla praw podstawowych. Po drugie, z przepisów prawa powszechnie obowiązującego powinno jasno wynikać, że podmioty danych podlegają profilowaniu, jeśli do przetwarzania ich danych wykorzystywane są systemy AI wysokiego ryzyka. Szczególnie istotne jest uwzględnienie przez prawodawcę warunków bezpieczeństwa przetwarzania danych</w:t>
            </w:r>
          </w:p>
          <w:p w14:paraId="2EBA4E9C" w14:textId="696226F0" w:rsidR="00C64386" w:rsidRPr="001941B0" w:rsidRDefault="009A45CE" w:rsidP="009A45CE">
            <w:pPr>
              <w:autoSpaceDE w:val="0"/>
              <w:autoSpaceDN w:val="0"/>
              <w:adjustRightInd w:val="0"/>
              <w:spacing w:after="0" w:line="240" w:lineRule="auto"/>
              <w:rPr>
                <w:rFonts w:eastAsiaTheme="minorEastAsia"/>
                <w:sz w:val="20"/>
                <w:szCs w:val="20"/>
              </w:rPr>
            </w:pPr>
            <w:r w:rsidRPr="001941B0">
              <w:rPr>
                <w:rFonts w:eastAsiaTheme="minorEastAsia"/>
                <w:sz w:val="20"/>
                <w:szCs w:val="20"/>
              </w:rPr>
              <w:t>oraz środków ochrony praw, wolności i prawnie uzasadnionych interesów</w:t>
            </w:r>
            <w:r w:rsidR="003D19B2" w:rsidRPr="001941B0">
              <w:rPr>
                <w:rFonts w:eastAsiaTheme="minorEastAsia"/>
                <w:sz w:val="20"/>
                <w:szCs w:val="20"/>
              </w:rPr>
              <w:t xml:space="preserve"> </w:t>
            </w:r>
            <w:r w:rsidRPr="001941B0">
              <w:rPr>
                <w:rFonts w:eastAsiaTheme="minorEastAsia"/>
                <w:sz w:val="20"/>
                <w:szCs w:val="20"/>
              </w:rPr>
              <w:t>podmiotów danych.</w:t>
            </w:r>
          </w:p>
        </w:tc>
        <w:tc>
          <w:tcPr>
            <w:tcW w:w="2855" w:type="dxa"/>
            <w:shd w:val="clear" w:color="auto" w:fill="FFFFFF" w:themeFill="background1"/>
          </w:tcPr>
          <w:p w14:paraId="7FD5B48E" w14:textId="24146CDC" w:rsidR="008A5FAC" w:rsidRPr="001941B0" w:rsidRDefault="008A5FAC" w:rsidP="00F33F0D">
            <w:pPr>
              <w:autoSpaceDE w:val="0"/>
              <w:autoSpaceDN w:val="0"/>
              <w:adjustRightInd w:val="0"/>
              <w:spacing w:after="0" w:line="240" w:lineRule="auto"/>
              <w:rPr>
                <w:rFonts w:cstheme="minorHAnsi"/>
                <w:b/>
                <w:iCs/>
                <w:sz w:val="20"/>
                <w:szCs w:val="20"/>
              </w:rPr>
            </w:pPr>
            <w:r w:rsidRPr="001941B0">
              <w:rPr>
                <w:rFonts w:cstheme="minorHAnsi"/>
                <w:b/>
                <w:iCs/>
                <w:sz w:val="20"/>
                <w:szCs w:val="20"/>
              </w:rPr>
              <w:lastRenderedPageBreak/>
              <w:t>Wyjaśnienie</w:t>
            </w:r>
          </w:p>
          <w:p w14:paraId="3C667337" w14:textId="1B4E5E3C" w:rsidR="00C64386" w:rsidRPr="001941B0" w:rsidRDefault="00194B4C" w:rsidP="384C731A">
            <w:pPr>
              <w:autoSpaceDE w:val="0"/>
              <w:autoSpaceDN w:val="0"/>
              <w:adjustRightInd w:val="0"/>
              <w:spacing w:after="0" w:line="240" w:lineRule="auto"/>
              <w:rPr>
                <w:sz w:val="20"/>
                <w:szCs w:val="20"/>
              </w:rPr>
            </w:pPr>
            <w:r w:rsidRPr="001941B0">
              <w:rPr>
                <w:sz w:val="20"/>
                <w:szCs w:val="20"/>
              </w:rPr>
              <w:t xml:space="preserve">Modele sztucznej inteligencji wykorzystywane w Platformie Usług Inteligentnych nie otrzymują danych osobowych pacjentów. Modele sztucznej inteligencji wykorzystywane w Platformie Usług Inteligentnych analizują </w:t>
            </w:r>
            <w:r w:rsidRPr="001941B0">
              <w:rPr>
                <w:sz w:val="20"/>
                <w:szCs w:val="20"/>
              </w:rPr>
              <w:lastRenderedPageBreak/>
              <w:t>wyłącznie dane obrazowe badań diagnostycznych w sposób uniemożliwiający identyfikację osoby fizycznej i stanowią narzędzie wspomagające pracownika medycznego, który dokonuje ostatecznej interpretacji wyniku oraz podejmuje decyzję diagnostyczną lub terapeutyczną, co oznacza, że rozwiązanie to nie stanowi profilowania ani zautomatyzowanego podejmowania decyzji wobec pacjentów w rozumieniu rozporządzenia 2016/679.</w:t>
            </w:r>
          </w:p>
        </w:tc>
      </w:tr>
      <w:tr w:rsidR="00FC7212" w:rsidRPr="001941B0" w14:paraId="222C8BE5" w14:textId="77777777" w:rsidTr="7139DBB9">
        <w:tc>
          <w:tcPr>
            <w:tcW w:w="1125" w:type="dxa"/>
            <w:shd w:val="clear" w:color="auto" w:fill="FFFFFF" w:themeFill="background1"/>
          </w:tcPr>
          <w:p w14:paraId="6B8979BA" w14:textId="77777777" w:rsidR="00255E32" w:rsidRPr="001941B0" w:rsidRDefault="00255E32"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40FC3FE" w14:textId="673AC4A9" w:rsidR="00255E32" w:rsidRPr="001941B0" w:rsidRDefault="00255E32"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41BE1A80" w14:textId="7EC13F5A" w:rsidR="00177B1F" w:rsidRPr="001941B0" w:rsidRDefault="00255E32" w:rsidP="00F33F0D">
            <w:pPr>
              <w:autoSpaceDE w:val="0"/>
              <w:autoSpaceDN w:val="0"/>
              <w:adjustRightInd w:val="0"/>
              <w:spacing w:after="0" w:line="240" w:lineRule="auto"/>
              <w:rPr>
                <w:rFonts w:cs="Calibri"/>
                <w:b/>
                <w:bCs/>
                <w:sz w:val="20"/>
                <w:szCs w:val="20"/>
              </w:rPr>
            </w:pPr>
            <w:r w:rsidRPr="001941B0">
              <w:rPr>
                <w:rFonts w:cs="Calibri"/>
                <w:sz w:val="20"/>
                <w:szCs w:val="20"/>
              </w:rPr>
              <w:t xml:space="preserve">Art. 5 pkt 17 </w:t>
            </w:r>
          </w:p>
          <w:p w14:paraId="3BDE9EA5" w14:textId="78F1ED81" w:rsidR="00255E32" w:rsidRPr="001941B0" w:rsidRDefault="00255E32" w:rsidP="00F33F0D">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63A719CE" w14:textId="70B6C558" w:rsidR="007415FA" w:rsidRPr="001941B0" w:rsidRDefault="007415FA" w:rsidP="007415FA">
            <w:pPr>
              <w:autoSpaceDE w:val="0"/>
              <w:autoSpaceDN w:val="0"/>
              <w:adjustRightInd w:val="0"/>
              <w:spacing w:after="0" w:line="240" w:lineRule="auto"/>
              <w:rPr>
                <w:rFonts w:eastAsiaTheme="minorEastAsia"/>
                <w:sz w:val="20"/>
                <w:szCs w:val="20"/>
              </w:rPr>
            </w:pPr>
            <w:r w:rsidRPr="001941B0">
              <w:rPr>
                <w:rFonts w:eastAsiaTheme="minorEastAsia"/>
                <w:sz w:val="20"/>
                <w:szCs w:val="20"/>
              </w:rPr>
              <w:t>19. Zgodnie z art. 31d ust. 2 pkt 5 ustawy o systemie informacji w ochronie</w:t>
            </w:r>
            <w:r w:rsidR="000639D5" w:rsidRPr="001941B0">
              <w:rPr>
                <w:rFonts w:eastAsiaTheme="minorEastAsia"/>
                <w:sz w:val="20"/>
                <w:szCs w:val="20"/>
              </w:rPr>
              <w:t xml:space="preserve"> </w:t>
            </w:r>
            <w:r w:rsidRPr="001941B0">
              <w:rPr>
                <w:rFonts w:eastAsiaTheme="minorEastAsia"/>
                <w:sz w:val="20"/>
                <w:szCs w:val="20"/>
              </w:rPr>
              <w:t>zdrowia: „W Platformie Usług Inteligentnych przetwarza się jednostkowe dane medyczne</w:t>
            </w:r>
            <w:r w:rsidR="000639D5" w:rsidRPr="001941B0">
              <w:rPr>
                <w:rFonts w:eastAsiaTheme="minorEastAsia"/>
                <w:sz w:val="20"/>
                <w:szCs w:val="20"/>
              </w:rPr>
              <w:t xml:space="preserve"> </w:t>
            </w:r>
            <w:r w:rsidRPr="001941B0">
              <w:rPr>
                <w:rFonts w:eastAsiaTheme="minorEastAsia"/>
                <w:sz w:val="20"/>
                <w:szCs w:val="20"/>
              </w:rPr>
              <w:t>obejmujące: (…) a) dane obrazowe, w tym dane biometryczne: cechy twarzy, sylwetki,</w:t>
            </w:r>
          </w:p>
          <w:p w14:paraId="3CD1B70F" w14:textId="2619536E" w:rsidR="007415FA" w:rsidRPr="001941B0" w:rsidRDefault="007415FA" w:rsidP="007415FA">
            <w:pPr>
              <w:autoSpaceDE w:val="0"/>
              <w:autoSpaceDN w:val="0"/>
              <w:adjustRightInd w:val="0"/>
              <w:spacing w:after="0" w:line="240" w:lineRule="auto"/>
              <w:rPr>
                <w:rFonts w:eastAsiaTheme="minorEastAsia"/>
                <w:sz w:val="20"/>
                <w:szCs w:val="20"/>
              </w:rPr>
            </w:pPr>
            <w:r w:rsidRPr="001941B0">
              <w:rPr>
                <w:rFonts w:eastAsiaTheme="minorEastAsia"/>
                <w:sz w:val="20"/>
                <w:szCs w:val="20"/>
              </w:rPr>
              <w:t>układu kostnego lub innego materiału antropologicznego, uzyskane na podstawie badań</w:t>
            </w:r>
            <w:r w:rsidR="000639D5" w:rsidRPr="001941B0">
              <w:rPr>
                <w:rFonts w:eastAsiaTheme="minorEastAsia"/>
                <w:sz w:val="20"/>
                <w:szCs w:val="20"/>
              </w:rPr>
              <w:t xml:space="preserve"> </w:t>
            </w:r>
            <w:r w:rsidRPr="001941B0">
              <w:rPr>
                <w:rFonts w:eastAsiaTheme="minorEastAsia"/>
                <w:sz w:val="20"/>
                <w:szCs w:val="20"/>
              </w:rPr>
              <w:t>obrazowych rentgena, rezonansu magnetycznego lub tomografu komputerowego, b) inne</w:t>
            </w:r>
          </w:p>
          <w:p w14:paraId="54689543" w14:textId="77777777" w:rsidR="007415FA" w:rsidRPr="001941B0" w:rsidRDefault="007415FA" w:rsidP="007415FA">
            <w:pPr>
              <w:autoSpaceDE w:val="0"/>
              <w:autoSpaceDN w:val="0"/>
              <w:adjustRightInd w:val="0"/>
              <w:spacing w:after="0" w:line="240" w:lineRule="auto"/>
              <w:rPr>
                <w:rFonts w:eastAsiaTheme="minorEastAsia"/>
                <w:sz w:val="20"/>
                <w:szCs w:val="20"/>
              </w:rPr>
            </w:pPr>
            <w:r w:rsidRPr="001941B0">
              <w:rPr>
                <w:rFonts w:eastAsiaTheme="minorEastAsia"/>
                <w:sz w:val="20"/>
                <w:szCs w:val="20"/>
              </w:rPr>
              <w:t>dane mające wpływ na wynik diagnostyki medycznej.”.</w:t>
            </w:r>
          </w:p>
          <w:p w14:paraId="484904F1" w14:textId="7FB0BF57" w:rsidR="007415FA" w:rsidRPr="001941B0" w:rsidRDefault="007415FA" w:rsidP="007415FA">
            <w:pPr>
              <w:autoSpaceDE w:val="0"/>
              <w:autoSpaceDN w:val="0"/>
              <w:adjustRightInd w:val="0"/>
              <w:spacing w:after="0" w:line="240" w:lineRule="auto"/>
              <w:rPr>
                <w:rFonts w:eastAsiaTheme="minorEastAsia"/>
                <w:sz w:val="20"/>
                <w:szCs w:val="20"/>
              </w:rPr>
            </w:pPr>
            <w:r w:rsidRPr="001941B0">
              <w:rPr>
                <w:rFonts w:eastAsiaTheme="minorEastAsia"/>
                <w:sz w:val="20"/>
                <w:szCs w:val="20"/>
              </w:rPr>
              <w:t>Zautomatyzowane przetwarzanie danych, w tym danych biometrycznych z</w:t>
            </w:r>
            <w:r w:rsidR="000639D5" w:rsidRPr="001941B0">
              <w:rPr>
                <w:rFonts w:eastAsiaTheme="minorEastAsia"/>
                <w:sz w:val="20"/>
                <w:szCs w:val="20"/>
              </w:rPr>
              <w:t xml:space="preserve"> </w:t>
            </w:r>
            <w:r w:rsidRPr="001941B0">
              <w:rPr>
                <w:rFonts w:eastAsiaTheme="minorEastAsia"/>
                <w:sz w:val="20"/>
                <w:szCs w:val="20"/>
              </w:rPr>
              <w:t>wykorzystaniem systemów sztucznej inteligencji, jest wyjątkowo inwazyjną formą</w:t>
            </w:r>
            <w:r w:rsidR="000639D5" w:rsidRPr="001941B0">
              <w:rPr>
                <w:rFonts w:eastAsiaTheme="minorEastAsia"/>
                <w:sz w:val="20"/>
                <w:szCs w:val="20"/>
              </w:rPr>
              <w:t xml:space="preserve"> </w:t>
            </w:r>
            <w:r w:rsidRPr="001941B0">
              <w:rPr>
                <w:rFonts w:eastAsiaTheme="minorEastAsia"/>
                <w:sz w:val="20"/>
                <w:szCs w:val="20"/>
              </w:rPr>
              <w:t>przetwarzania danych osobowych, która jest obarczona wysokim ryzykiem</w:t>
            </w:r>
            <w:r w:rsidR="000639D5" w:rsidRPr="001941B0">
              <w:rPr>
                <w:rFonts w:eastAsiaTheme="minorEastAsia"/>
                <w:sz w:val="20"/>
                <w:szCs w:val="20"/>
              </w:rPr>
              <w:t xml:space="preserve"> </w:t>
            </w:r>
            <w:r w:rsidRPr="001941B0">
              <w:rPr>
                <w:rFonts w:eastAsiaTheme="minorEastAsia"/>
                <w:sz w:val="20"/>
                <w:szCs w:val="20"/>
              </w:rPr>
              <w:t>naruszenia praw i wolności osób.</w:t>
            </w:r>
            <w:r w:rsidR="000639D5" w:rsidRPr="001941B0">
              <w:rPr>
                <w:rFonts w:eastAsiaTheme="minorEastAsia"/>
                <w:sz w:val="20"/>
                <w:szCs w:val="20"/>
              </w:rPr>
              <w:t xml:space="preserve"> </w:t>
            </w:r>
            <w:r w:rsidRPr="001941B0">
              <w:rPr>
                <w:rFonts w:eastAsiaTheme="minorEastAsia"/>
                <w:sz w:val="20"/>
                <w:szCs w:val="20"/>
              </w:rPr>
              <w:t>W Akcie w sprawie sztucznej inteligencji, w motywie 39, podkreślono, że: „wszelkie</w:t>
            </w:r>
            <w:r w:rsidR="000639D5" w:rsidRPr="001941B0">
              <w:rPr>
                <w:rFonts w:eastAsiaTheme="minorEastAsia"/>
                <w:sz w:val="20"/>
                <w:szCs w:val="20"/>
              </w:rPr>
              <w:t xml:space="preserve"> </w:t>
            </w:r>
            <w:r w:rsidRPr="001941B0">
              <w:rPr>
                <w:rFonts w:eastAsiaTheme="minorEastAsia"/>
                <w:sz w:val="20"/>
                <w:szCs w:val="20"/>
              </w:rPr>
              <w:t>przetwarzanie danych biometrycznych i innych danych osobowych związane z</w:t>
            </w:r>
            <w:r w:rsidR="000639D5" w:rsidRPr="001941B0">
              <w:rPr>
                <w:rFonts w:eastAsiaTheme="minorEastAsia"/>
                <w:sz w:val="20"/>
                <w:szCs w:val="20"/>
              </w:rPr>
              <w:t xml:space="preserve"> </w:t>
            </w:r>
            <w:r w:rsidRPr="001941B0">
              <w:rPr>
                <w:rFonts w:eastAsiaTheme="minorEastAsia"/>
                <w:sz w:val="20"/>
                <w:szCs w:val="20"/>
              </w:rPr>
              <w:t>wykorzystaniem systemów AI do identyfikacji biometrycznej, inne niż w związku z</w:t>
            </w:r>
            <w:r w:rsidR="000639D5" w:rsidRPr="001941B0">
              <w:rPr>
                <w:rFonts w:eastAsiaTheme="minorEastAsia"/>
                <w:sz w:val="20"/>
                <w:szCs w:val="20"/>
              </w:rPr>
              <w:t xml:space="preserve"> </w:t>
            </w:r>
            <w:r w:rsidRPr="001941B0">
              <w:rPr>
                <w:rFonts w:eastAsiaTheme="minorEastAsia"/>
                <w:sz w:val="20"/>
                <w:szCs w:val="20"/>
              </w:rPr>
              <w:t xml:space="preserve">wykorzystywaniem systemów zdalnej identyfikacji </w:t>
            </w:r>
            <w:r w:rsidRPr="001941B0">
              <w:rPr>
                <w:rFonts w:eastAsiaTheme="minorEastAsia"/>
                <w:sz w:val="20"/>
                <w:szCs w:val="20"/>
              </w:rPr>
              <w:lastRenderedPageBreak/>
              <w:t>biometrycznej w czasie rzeczywistym w</w:t>
            </w:r>
            <w:r w:rsidR="000639D5" w:rsidRPr="001941B0">
              <w:rPr>
                <w:rFonts w:eastAsiaTheme="minorEastAsia"/>
                <w:sz w:val="20"/>
                <w:szCs w:val="20"/>
              </w:rPr>
              <w:t xml:space="preserve"> </w:t>
            </w:r>
            <w:r w:rsidRPr="001941B0">
              <w:rPr>
                <w:rFonts w:eastAsiaTheme="minorEastAsia"/>
                <w:sz w:val="20"/>
                <w:szCs w:val="20"/>
              </w:rPr>
              <w:t>przestrzeni publicznej w celu ścigania przestępstw zgodnie z przepisami niniejszego</w:t>
            </w:r>
          </w:p>
          <w:p w14:paraId="11D52416" w14:textId="5E37D9AD" w:rsidR="007D4166" w:rsidRPr="001941B0" w:rsidRDefault="007415FA" w:rsidP="007D4166">
            <w:pPr>
              <w:autoSpaceDE w:val="0"/>
              <w:autoSpaceDN w:val="0"/>
              <w:adjustRightInd w:val="0"/>
              <w:spacing w:after="0" w:line="240" w:lineRule="auto"/>
              <w:rPr>
                <w:rFonts w:eastAsiaTheme="minorEastAsia"/>
                <w:b/>
                <w:bCs/>
                <w:sz w:val="20"/>
                <w:szCs w:val="20"/>
              </w:rPr>
            </w:pPr>
            <w:r w:rsidRPr="001941B0">
              <w:rPr>
                <w:rFonts w:eastAsiaTheme="minorEastAsia"/>
                <w:sz w:val="20"/>
                <w:szCs w:val="20"/>
              </w:rPr>
              <w:t>rozporządzenia, powinno pozostawać zgodne z wymogami wynikającymi z art. 10</w:t>
            </w:r>
            <w:r w:rsidR="000639D5" w:rsidRPr="001941B0">
              <w:rPr>
                <w:rFonts w:eastAsiaTheme="minorEastAsia"/>
                <w:sz w:val="20"/>
                <w:szCs w:val="20"/>
              </w:rPr>
              <w:t xml:space="preserve"> </w:t>
            </w:r>
            <w:r w:rsidRPr="001941B0">
              <w:rPr>
                <w:rFonts w:eastAsiaTheme="minorEastAsia"/>
                <w:sz w:val="20"/>
                <w:szCs w:val="20"/>
              </w:rPr>
              <w:t>dyrektywy (UE) 2016/680. Do celów innych niż ściganie przestępstw art. 9 ust. 1</w:t>
            </w:r>
            <w:r w:rsidR="000639D5" w:rsidRPr="001941B0">
              <w:rPr>
                <w:rFonts w:eastAsiaTheme="minorEastAsia"/>
                <w:sz w:val="20"/>
                <w:szCs w:val="20"/>
              </w:rPr>
              <w:t xml:space="preserve"> </w:t>
            </w:r>
            <w:r w:rsidRPr="001941B0">
              <w:rPr>
                <w:rFonts w:eastAsiaTheme="minorEastAsia"/>
                <w:sz w:val="20"/>
                <w:szCs w:val="20"/>
              </w:rPr>
              <w:t>rozporządzenia (UE) 2016/679 i art. 10 ust. 1 rozporządzenia (UE) 2018/1725 zakazują</w:t>
            </w:r>
            <w:r w:rsidR="000639D5" w:rsidRPr="001941B0">
              <w:rPr>
                <w:rFonts w:eastAsiaTheme="minorEastAsia"/>
                <w:sz w:val="20"/>
                <w:szCs w:val="20"/>
              </w:rPr>
              <w:t xml:space="preserve"> </w:t>
            </w:r>
            <w:r w:rsidRPr="001941B0">
              <w:rPr>
                <w:rFonts w:eastAsiaTheme="minorEastAsia"/>
                <w:sz w:val="20"/>
                <w:szCs w:val="20"/>
              </w:rPr>
              <w:t>przetwarzania danych biometrycznych z 11 uwzględnieniem ograniczonej liczby wyjątków</w:t>
            </w:r>
            <w:r w:rsidR="000639D5" w:rsidRPr="001941B0">
              <w:rPr>
                <w:rFonts w:eastAsiaTheme="minorEastAsia"/>
                <w:sz w:val="20"/>
                <w:szCs w:val="20"/>
              </w:rPr>
              <w:t xml:space="preserve"> </w:t>
            </w:r>
            <w:r w:rsidRPr="001941B0">
              <w:rPr>
                <w:rFonts w:eastAsiaTheme="minorEastAsia"/>
                <w:sz w:val="20"/>
                <w:szCs w:val="20"/>
              </w:rPr>
              <w:t>określonych w tych artykułach. W ramach stosowania art. 9 ust. 1 rozporządzenia (UE)</w:t>
            </w:r>
            <w:r w:rsidR="000639D5" w:rsidRPr="001941B0">
              <w:rPr>
                <w:rFonts w:eastAsiaTheme="minorEastAsia"/>
                <w:sz w:val="20"/>
                <w:szCs w:val="20"/>
              </w:rPr>
              <w:t xml:space="preserve"> </w:t>
            </w:r>
            <w:r w:rsidRPr="001941B0">
              <w:rPr>
                <w:rFonts w:eastAsiaTheme="minorEastAsia"/>
                <w:sz w:val="20"/>
                <w:szCs w:val="20"/>
              </w:rPr>
              <w:t>2016/679 wykorzystywanie zdalnej identyfikacji biometrycznej do celów innych niż</w:t>
            </w:r>
            <w:r w:rsidR="000639D5" w:rsidRPr="001941B0">
              <w:rPr>
                <w:rFonts w:eastAsiaTheme="minorEastAsia"/>
                <w:sz w:val="20"/>
                <w:szCs w:val="20"/>
              </w:rPr>
              <w:t xml:space="preserve"> </w:t>
            </w:r>
            <w:r w:rsidRPr="001941B0">
              <w:rPr>
                <w:rFonts w:eastAsiaTheme="minorEastAsia"/>
                <w:sz w:val="20"/>
                <w:szCs w:val="20"/>
              </w:rPr>
              <w:t>ściganie przestępstw było już przedmiotem decyzji zakazujących takiego</w:t>
            </w:r>
            <w:r w:rsidR="007D4166" w:rsidRPr="001941B0">
              <w:rPr>
                <w:rFonts w:eastAsiaTheme="minorEastAsia"/>
                <w:sz w:val="20"/>
                <w:szCs w:val="20"/>
              </w:rPr>
              <w:t xml:space="preserve"> </w:t>
            </w:r>
            <w:r w:rsidR="007D4166" w:rsidRPr="001941B0">
              <w:rPr>
                <w:rFonts w:cs="ArialMT"/>
                <w:kern w:val="0"/>
                <w:sz w:val="20"/>
                <w:szCs w:val="20"/>
              </w:rPr>
              <w:t>wykorzystywania</w:t>
            </w:r>
            <w:r w:rsidR="007D4166" w:rsidRPr="001941B0">
              <w:rPr>
                <w:rFonts w:eastAsiaTheme="minorEastAsia"/>
                <w:sz w:val="20"/>
                <w:szCs w:val="20"/>
              </w:rPr>
              <w:t xml:space="preserve">, wydawanych przez krajowe organy ochrony danych”17. </w:t>
            </w:r>
            <w:r w:rsidR="007D4166" w:rsidRPr="001941B0">
              <w:rPr>
                <w:rFonts w:eastAsiaTheme="minorEastAsia"/>
                <w:b/>
                <w:bCs/>
                <w:sz w:val="20"/>
                <w:szCs w:val="20"/>
              </w:rPr>
              <w:t>Powstaje</w:t>
            </w:r>
            <w:r w:rsidR="000639D5" w:rsidRPr="001941B0">
              <w:rPr>
                <w:rFonts w:eastAsiaTheme="minorEastAsia"/>
                <w:sz w:val="20"/>
                <w:szCs w:val="20"/>
              </w:rPr>
              <w:t xml:space="preserve"> </w:t>
            </w:r>
            <w:r w:rsidR="007D4166" w:rsidRPr="001941B0">
              <w:rPr>
                <w:rFonts w:eastAsiaTheme="minorEastAsia"/>
                <w:b/>
                <w:bCs/>
                <w:sz w:val="20"/>
                <w:szCs w:val="20"/>
              </w:rPr>
              <w:t>dodatkowo pytanie dlaczego przetwarzane cechy twarzy i sylwetki mają mieć</w:t>
            </w:r>
            <w:r w:rsidR="000541EF" w:rsidRPr="001941B0">
              <w:rPr>
                <w:rFonts w:eastAsiaTheme="minorEastAsia"/>
                <w:b/>
                <w:bCs/>
                <w:sz w:val="20"/>
                <w:szCs w:val="20"/>
              </w:rPr>
              <w:t xml:space="preserve"> </w:t>
            </w:r>
            <w:r w:rsidR="007D4166" w:rsidRPr="001941B0">
              <w:rPr>
                <w:rFonts w:eastAsiaTheme="minorEastAsia"/>
                <w:b/>
                <w:bCs/>
                <w:sz w:val="20"/>
                <w:szCs w:val="20"/>
              </w:rPr>
              <w:t>charakter danych biometrycznych, skoro nie planuje się ich wykorzystania do</w:t>
            </w:r>
            <w:r w:rsidR="00E5475B" w:rsidRPr="001941B0">
              <w:rPr>
                <w:rFonts w:eastAsiaTheme="minorEastAsia"/>
                <w:b/>
                <w:bCs/>
                <w:sz w:val="20"/>
                <w:szCs w:val="20"/>
              </w:rPr>
              <w:t xml:space="preserve"> </w:t>
            </w:r>
            <w:r w:rsidR="007D4166" w:rsidRPr="001941B0">
              <w:rPr>
                <w:rFonts w:eastAsiaTheme="minorEastAsia"/>
                <w:b/>
                <w:bCs/>
                <w:sz w:val="20"/>
                <w:szCs w:val="20"/>
              </w:rPr>
              <w:t>identyfikacji osób fizycznych.</w:t>
            </w:r>
            <w:r w:rsidR="00E5475B" w:rsidRPr="001941B0">
              <w:rPr>
                <w:rFonts w:eastAsiaTheme="minorEastAsia"/>
                <w:b/>
                <w:bCs/>
                <w:sz w:val="20"/>
                <w:szCs w:val="20"/>
              </w:rPr>
              <w:t xml:space="preserve"> </w:t>
            </w:r>
            <w:r w:rsidR="007D4166" w:rsidRPr="001941B0">
              <w:rPr>
                <w:rFonts w:eastAsiaTheme="minorEastAsia"/>
                <w:sz w:val="20"/>
                <w:szCs w:val="20"/>
              </w:rPr>
              <w:t xml:space="preserve">Należy więc zachować </w:t>
            </w:r>
            <w:r w:rsidR="007D4166" w:rsidRPr="001941B0">
              <w:rPr>
                <w:rFonts w:eastAsiaTheme="minorEastAsia"/>
                <w:b/>
                <w:bCs/>
                <w:sz w:val="20"/>
                <w:szCs w:val="20"/>
              </w:rPr>
              <w:t>szczególną ostrożność przy projektowaniu tego typu</w:t>
            </w:r>
          </w:p>
          <w:p w14:paraId="726BE718" w14:textId="11FFA586" w:rsidR="007D4166" w:rsidRPr="001941B0" w:rsidRDefault="007D4166" w:rsidP="007D4166">
            <w:pPr>
              <w:autoSpaceDE w:val="0"/>
              <w:autoSpaceDN w:val="0"/>
              <w:adjustRightInd w:val="0"/>
              <w:spacing w:after="0" w:line="240" w:lineRule="auto"/>
              <w:rPr>
                <w:rFonts w:eastAsiaTheme="minorEastAsia"/>
                <w:sz w:val="20"/>
                <w:szCs w:val="20"/>
              </w:rPr>
            </w:pPr>
            <w:r w:rsidRPr="001941B0">
              <w:rPr>
                <w:rFonts w:eastAsiaTheme="minorEastAsia"/>
                <w:b/>
                <w:bCs/>
                <w:sz w:val="20"/>
                <w:szCs w:val="20"/>
              </w:rPr>
              <w:t xml:space="preserve">systemów, w szczególności jeśli miałoby dochodzić w nich do profilowania </w:t>
            </w:r>
            <w:r w:rsidRPr="001941B0">
              <w:rPr>
                <w:rFonts w:eastAsiaTheme="minorEastAsia"/>
                <w:sz w:val="20"/>
                <w:szCs w:val="20"/>
              </w:rPr>
              <w:t>– do</w:t>
            </w:r>
            <w:r w:rsidR="00E5475B" w:rsidRPr="001941B0">
              <w:rPr>
                <w:rFonts w:eastAsiaTheme="minorEastAsia"/>
                <w:sz w:val="20"/>
                <w:szCs w:val="20"/>
              </w:rPr>
              <w:t xml:space="preserve"> </w:t>
            </w:r>
            <w:r w:rsidRPr="001941B0">
              <w:rPr>
                <w:rFonts w:eastAsiaTheme="minorEastAsia"/>
                <w:sz w:val="20"/>
                <w:szCs w:val="20"/>
              </w:rPr>
              <w:t>powyższej kwestii odnoszą się analogicznie uwagi organu nadzorczego do Elektronicznej</w:t>
            </w:r>
            <w:r w:rsidR="00E5475B" w:rsidRPr="001941B0">
              <w:rPr>
                <w:rFonts w:eastAsiaTheme="minorEastAsia"/>
                <w:sz w:val="20"/>
                <w:szCs w:val="20"/>
              </w:rPr>
              <w:t xml:space="preserve"> </w:t>
            </w:r>
            <w:r w:rsidRPr="001941B0">
              <w:rPr>
                <w:rFonts w:eastAsiaTheme="minorEastAsia"/>
                <w:sz w:val="20"/>
                <w:szCs w:val="20"/>
              </w:rPr>
              <w:t>Platformy Gromadzenia, Analizy i Udostępnienia Zasobów Cyfrowych.</w:t>
            </w:r>
          </w:p>
          <w:p w14:paraId="2B1478DA" w14:textId="418556EF" w:rsidR="007D4166" w:rsidRPr="001941B0" w:rsidRDefault="007D4166" w:rsidP="007D4166">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Powyższe wątpliwości pogłębia fakt, że zgodnie z </w:t>
            </w:r>
            <w:r w:rsidRPr="001941B0">
              <w:rPr>
                <w:rFonts w:eastAsiaTheme="minorEastAsia"/>
                <w:b/>
                <w:bCs/>
                <w:sz w:val="20"/>
                <w:szCs w:val="20"/>
              </w:rPr>
              <w:t xml:space="preserve">art. 31d ust. 2 pkt 5 lit. b </w:t>
            </w:r>
            <w:r w:rsidRPr="001941B0">
              <w:rPr>
                <w:rFonts w:eastAsiaTheme="minorEastAsia"/>
                <w:sz w:val="20"/>
                <w:szCs w:val="20"/>
              </w:rPr>
              <w:t>w</w:t>
            </w:r>
            <w:r w:rsidR="00E5475B" w:rsidRPr="001941B0">
              <w:rPr>
                <w:rFonts w:eastAsiaTheme="minorEastAsia"/>
                <w:sz w:val="20"/>
                <w:szCs w:val="20"/>
              </w:rPr>
              <w:t xml:space="preserve"> </w:t>
            </w:r>
            <w:r w:rsidRPr="001941B0">
              <w:rPr>
                <w:rFonts w:eastAsiaTheme="minorEastAsia"/>
                <w:sz w:val="20"/>
                <w:szCs w:val="20"/>
              </w:rPr>
              <w:t>Platformie Usług Inteligentnych przetwarza się „inne dane mające wpływ na wynik</w:t>
            </w:r>
            <w:r w:rsidR="009D02CC" w:rsidRPr="001941B0">
              <w:rPr>
                <w:rFonts w:eastAsiaTheme="minorEastAsia"/>
                <w:sz w:val="20"/>
                <w:szCs w:val="20"/>
              </w:rPr>
              <w:t xml:space="preserve"> </w:t>
            </w:r>
            <w:r w:rsidRPr="001941B0">
              <w:rPr>
                <w:rFonts w:eastAsiaTheme="minorEastAsia"/>
                <w:sz w:val="20"/>
                <w:szCs w:val="20"/>
              </w:rPr>
              <w:t>diagnostyki medycznej”. Nie można wykluczyć, że w niedookreślonej kategorii innych</w:t>
            </w:r>
            <w:r w:rsidR="009D02CC" w:rsidRPr="001941B0">
              <w:rPr>
                <w:rFonts w:eastAsiaTheme="minorEastAsia"/>
                <w:sz w:val="20"/>
                <w:szCs w:val="20"/>
              </w:rPr>
              <w:t xml:space="preserve"> </w:t>
            </w:r>
            <w:r w:rsidRPr="001941B0">
              <w:rPr>
                <w:rFonts w:eastAsiaTheme="minorEastAsia"/>
                <w:sz w:val="20"/>
                <w:szCs w:val="20"/>
              </w:rPr>
              <w:t>danych znajdą się dane, które mogą posłużyć do identyfikacji biometrycznej.</w:t>
            </w:r>
          </w:p>
          <w:p w14:paraId="667902B2" w14:textId="42B93106" w:rsidR="00255E32" w:rsidRPr="001941B0" w:rsidRDefault="007D4166" w:rsidP="007D4166">
            <w:pPr>
              <w:autoSpaceDE w:val="0"/>
              <w:autoSpaceDN w:val="0"/>
              <w:adjustRightInd w:val="0"/>
              <w:spacing w:after="0" w:line="240" w:lineRule="auto"/>
              <w:rPr>
                <w:rFonts w:eastAsiaTheme="minorEastAsia"/>
                <w:sz w:val="20"/>
                <w:szCs w:val="20"/>
              </w:rPr>
            </w:pPr>
            <w:r w:rsidRPr="001941B0">
              <w:rPr>
                <w:rFonts w:eastAsiaTheme="minorEastAsia"/>
                <w:sz w:val="20"/>
                <w:szCs w:val="20"/>
              </w:rPr>
              <w:t>Precyzyjne ustalenie zakresu i celu i sposobu przetwarzania danych, zwłaszcza</w:t>
            </w:r>
            <w:r w:rsidR="00B93FD0" w:rsidRPr="001941B0">
              <w:rPr>
                <w:rFonts w:eastAsiaTheme="minorEastAsia"/>
                <w:sz w:val="20"/>
                <w:szCs w:val="20"/>
              </w:rPr>
              <w:t xml:space="preserve"> </w:t>
            </w:r>
            <w:r w:rsidRPr="001941B0">
              <w:rPr>
                <w:rFonts w:eastAsiaTheme="minorEastAsia"/>
                <w:sz w:val="20"/>
                <w:szCs w:val="20"/>
              </w:rPr>
              <w:t>danych biometrycznych w Platformie Usług Inteligentnych, jest konieczne dla zachowania</w:t>
            </w:r>
            <w:r w:rsidR="00B93FD0" w:rsidRPr="001941B0">
              <w:rPr>
                <w:rFonts w:eastAsiaTheme="minorEastAsia"/>
                <w:sz w:val="20"/>
                <w:szCs w:val="20"/>
              </w:rPr>
              <w:t xml:space="preserve"> </w:t>
            </w:r>
            <w:r w:rsidRPr="001941B0">
              <w:rPr>
                <w:rFonts w:eastAsiaTheme="minorEastAsia"/>
                <w:sz w:val="20"/>
                <w:szCs w:val="20"/>
              </w:rPr>
              <w:t>zasady zgodności z prawem, rzetelności i przejrzystości, ograniczenia celu, minimalizacji</w:t>
            </w:r>
            <w:r w:rsidR="00B93FD0" w:rsidRPr="001941B0">
              <w:rPr>
                <w:rFonts w:eastAsiaTheme="minorEastAsia"/>
                <w:sz w:val="20"/>
                <w:szCs w:val="20"/>
              </w:rPr>
              <w:t xml:space="preserve"> </w:t>
            </w:r>
            <w:r w:rsidRPr="001941B0">
              <w:rPr>
                <w:rFonts w:eastAsiaTheme="minorEastAsia"/>
                <w:sz w:val="20"/>
                <w:szCs w:val="20"/>
              </w:rPr>
              <w:t>danych, poufności i integralności oraz rozliczalności.</w:t>
            </w:r>
          </w:p>
        </w:tc>
        <w:tc>
          <w:tcPr>
            <w:tcW w:w="2855" w:type="dxa"/>
            <w:shd w:val="clear" w:color="auto" w:fill="FFFFFF" w:themeFill="background1"/>
          </w:tcPr>
          <w:p w14:paraId="2122BF97" w14:textId="379B1514" w:rsidR="00A74B02" w:rsidRPr="001941B0" w:rsidRDefault="00A74B02" w:rsidP="00F33F0D">
            <w:pPr>
              <w:autoSpaceDE w:val="0"/>
              <w:autoSpaceDN w:val="0"/>
              <w:adjustRightInd w:val="0"/>
              <w:spacing w:after="0" w:line="240" w:lineRule="auto"/>
              <w:rPr>
                <w:b/>
                <w:sz w:val="20"/>
                <w:szCs w:val="20"/>
              </w:rPr>
            </w:pPr>
            <w:r w:rsidRPr="001941B0">
              <w:rPr>
                <w:b/>
                <w:sz w:val="20"/>
                <w:szCs w:val="20"/>
              </w:rPr>
              <w:lastRenderedPageBreak/>
              <w:t>Wyjaśnienie</w:t>
            </w:r>
          </w:p>
          <w:p w14:paraId="07E33F40" w14:textId="576FD5AB" w:rsidR="00A3551C" w:rsidRPr="001941B0" w:rsidRDefault="588E53C4" w:rsidP="384C731A">
            <w:pPr>
              <w:autoSpaceDE w:val="0"/>
              <w:autoSpaceDN w:val="0"/>
              <w:adjustRightInd w:val="0"/>
              <w:spacing w:after="0" w:line="240" w:lineRule="auto"/>
              <w:rPr>
                <w:sz w:val="20"/>
                <w:szCs w:val="20"/>
              </w:rPr>
            </w:pPr>
            <w:r w:rsidRPr="001941B0">
              <w:rPr>
                <w:sz w:val="20"/>
                <w:szCs w:val="20"/>
              </w:rPr>
              <w:t>Przeprowadzono analizę DPIA i zachowano szczególną ostrożność.</w:t>
            </w:r>
            <w:r w:rsidR="7920A2D6" w:rsidRPr="001941B0">
              <w:rPr>
                <w:sz w:val="20"/>
                <w:szCs w:val="20"/>
              </w:rPr>
              <w:t xml:space="preserve"> Na tej podstawie</w:t>
            </w:r>
            <w:r w:rsidR="55352893" w:rsidRPr="001941B0">
              <w:rPr>
                <w:sz w:val="20"/>
                <w:szCs w:val="20"/>
              </w:rPr>
              <w:t xml:space="preserve"> przetwarzane cechy twarzy i sylwetki zostały uznane za dane biometryczne</w:t>
            </w:r>
            <w:r w:rsidR="55A59AA2" w:rsidRPr="001941B0">
              <w:rPr>
                <w:sz w:val="20"/>
                <w:szCs w:val="20"/>
              </w:rPr>
              <w:t xml:space="preserve">. Nie będą one jednak </w:t>
            </w:r>
            <w:r w:rsidR="78F8C888" w:rsidRPr="001941B0">
              <w:rPr>
                <w:sz w:val="20"/>
                <w:szCs w:val="20"/>
              </w:rPr>
              <w:t xml:space="preserve">wykorzystywane </w:t>
            </w:r>
            <w:r w:rsidR="237AFBB2" w:rsidRPr="001941B0">
              <w:rPr>
                <w:sz w:val="20"/>
                <w:szCs w:val="20"/>
              </w:rPr>
              <w:t xml:space="preserve">do profilowania </w:t>
            </w:r>
            <w:r w:rsidR="0FD91DF0" w:rsidRPr="001941B0">
              <w:rPr>
                <w:sz w:val="20"/>
                <w:szCs w:val="20"/>
              </w:rPr>
              <w:t xml:space="preserve">oraz </w:t>
            </w:r>
            <w:r w:rsidR="237AFBB2" w:rsidRPr="001941B0">
              <w:rPr>
                <w:sz w:val="20"/>
                <w:szCs w:val="20"/>
              </w:rPr>
              <w:t>do identyfikacji</w:t>
            </w:r>
            <w:r w:rsidR="0FD91DF0" w:rsidRPr="001941B0">
              <w:rPr>
                <w:sz w:val="20"/>
                <w:szCs w:val="20"/>
              </w:rPr>
              <w:t xml:space="preserve"> osób fizycznych</w:t>
            </w:r>
            <w:r w:rsidR="237AFBB2" w:rsidRPr="001941B0">
              <w:rPr>
                <w:sz w:val="20"/>
                <w:szCs w:val="20"/>
              </w:rPr>
              <w:t xml:space="preserve">. </w:t>
            </w:r>
            <w:r w:rsidR="3B963384" w:rsidRPr="001941B0">
              <w:rPr>
                <w:sz w:val="20"/>
                <w:szCs w:val="20"/>
              </w:rPr>
              <w:t xml:space="preserve">Jednakże ze względu na specyfikę rozwiązania </w:t>
            </w:r>
            <w:r w:rsidR="0B022AA7" w:rsidRPr="001941B0">
              <w:rPr>
                <w:sz w:val="20"/>
                <w:szCs w:val="20"/>
              </w:rPr>
              <w:t xml:space="preserve">przewiduje się, że </w:t>
            </w:r>
            <w:r w:rsidR="31C88999" w:rsidRPr="001941B0">
              <w:rPr>
                <w:sz w:val="20"/>
                <w:szCs w:val="20"/>
              </w:rPr>
              <w:t xml:space="preserve">wystąpią przypadki, gdzie nie będzie możliwe </w:t>
            </w:r>
            <w:r w:rsidR="237AFBB2" w:rsidRPr="001941B0">
              <w:rPr>
                <w:sz w:val="20"/>
                <w:szCs w:val="20"/>
              </w:rPr>
              <w:t>przesła</w:t>
            </w:r>
            <w:r w:rsidR="31C88999" w:rsidRPr="001941B0">
              <w:rPr>
                <w:sz w:val="20"/>
                <w:szCs w:val="20"/>
              </w:rPr>
              <w:t>nia</w:t>
            </w:r>
            <w:r w:rsidR="237AFBB2" w:rsidRPr="001941B0">
              <w:rPr>
                <w:sz w:val="20"/>
                <w:szCs w:val="20"/>
              </w:rPr>
              <w:t xml:space="preserve"> </w:t>
            </w:r>
            <w:r w:rsidR="008792CD" w:rsidRPr="001941B0">
              <w:rPr>
                <w:sz w:val="20"/>
                <w:szCs w:val="20"/>
              </w:rPr>
              <w:t xml:space="preserve">badania obrazowego nie zawierającego elementu </w:t>
            </w:r>
            <w:r w:rsidR="237AFBB2" w:rsidRPr="001941B0">
              <w:rPr>
                <w:sz w:val="20"/>
                <w:szCs w:val="20"/>
              </w:rPr>
              <w:t>twarzy</w:t>
            </w:r>
            <w:r w:rsidR="008792CD" w:rsidRPr="001941B0">
              <w:rPr>
                <w:sz w:val="20"/>
                <w:szCs w:val="20"/>
              </w:rPr>
              <w:t xml:space="preserve"> bądź </w:t>
            </w:r>
            <w:r w:rsidR="237AFBB2" w:rsidRPr="001941B0">
              <w:rPr>
                <w:sz w:val="20"/>
                <w:szCs w:val="20"/>
              </w:rPr>
              <w:t>sylwetki (danych biometrycznych)</w:t>
            </w:r>
            <w:r w:rsidR="008792CD" w:rsidRPr="001941B0">
              <w:rPr>
                <w:sz w:val="20"/>
                <w:szCs w:val="20"/>
              </w:rPr>
              <w:t xml:space="preserve"> pacjenta.</w:t>
            </w:r>
          </w:p>
          <w:p w14:paraId="392FEA1D" w14:textId="77777777" w:rsidR="00A3551C" w:rsidRPr="001941B0" w:rsidRDefault="00A3551C" w:rsidP="00F33F0D">
            <w:pPr>
              <w:autoSpaceDE w:val="0"/>
              <w:autoSpaceDN w:val="0"/>
              <w:adjustRightInd w:val="0"/>
              <w:spacing w:after="0" w:line="240" w:lineRule="auto"/>
              <w:rPr>
                <w:rFonts w:cstheme="minorHAnsi"/>
                <w:bCs/>
                <w:iCs/>
                <w:sz w:val="20"/>
                <w:szCs w:val="20"/>
              </w:rPr>
            </w:pPr>
          </w:p>
          <w:p w14:paraId="4B694FF0" w14:textId="7E13FFD1" w:rsidR="00A3551C" w:rsidRPr="001941B0" w:rsidRDefault="00A3551C" w:rsidP="00F33F0D">
            <w:pPr>
              <w:autoSpaceDE w:val="0"/>
              <w:autoSpaceDN w:val="0"/>
              <w:adjustRightInd w:val="0"/>
              <w:spacing w:after="0" w:line="240" w:lineRule="auto"/>
              <w:rPr>
                <w:rFonts w:cstheme="minorHAnsi"/>
                <w:bCs/>
                <w:iCs/>
                <w:sz w:val="20"/>
                <w:szCs w:val="20"/>
              </w:rPr>
            </w:pPr>
          </w:p>
        </w:tc>
      </w:tr>
      <w:tr w:rsidR="00FC7212" w:rsidRPr="001941B0" w14:paraId="1A4FE60B" w14:textId="77777777" w:rsidTr="7139DBB9">
        <w:tc>
          <w:tcPr>
            <w:tcW w:w="1125" w:type="dxa"/>
            <w:shd w:val="clear" w:color="auto" w:fill="FFFFFF" w:themeFill="background1"/>
          </w:tcPr>
          <w:p w14:paraId="7BB7D36D"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636EAAB" w14:textId="56551D97" w:rsidR="00F33F0D" w:rsidRPr="001941B0" w:rsidRDefault="00173EFF"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641AD5FE" w14:textId="62D798F4" w:rsidR="00F33F0D" w:rsidRPr="001941B0" w:rsidRDefault="00173EFF" w:rsidP="00F33F0D">
            <w:pPr>
              <w:autoSpaceDE w:val="0"/>
              <w:autoSpaceDN w:val="0"/>
              <w:adjustRightInd w:val="0"/>
              <w:spacing w:after="0" w:line="240" w:lineRule="auto"/>
              <w:rPr>
                <w:rFonts w:cs="Calibri"/>
                <w:b/>
                <w:bCs/>
                <w:sz w:val="20"/>
                <w:szCs w:val="20"/>
              </w:rPr>
            </w:pPr>
            <w:r w:rsidRPr="001941B0">
              <w:rPr>
                <w:rFonts w:cs="Calibri"/>
                <w:sz w:val="20"/>
                <w:szCs w:val="20"/>
              </w:rPr>
              <w:t xml:space="preserve">Art. 5 pkt 17 </w:t>
            </w:r>
          </w:p>
          <w:p w14:paraId="62E2B810" w14:textId="77777777" w:rsidR="00AB2E0F" w:rsidRPr="001941B0" w:rsidRDefault="00AB2E0F" w:rsidP="00F33F0D">
            <w:pPr>
              <w:autoSpaceDE w:val="0"/>
              <w:autoSpaceDN w:val="0"/>
              <w:adjustRightInd w:val="0"/>
              <w:spacing w:after="0" w:line="240" w:lineRule="auto"/>
              <w:rPr>
                <w:rFonts w:cs="Calibri"/>
                <w:b/>
                <w:bCs/>
                <w:sz w:val="20"/>
                <w:szCs w:val="20"/>
              </w:rPr>
            </w:pPr>
          </w:p>
          <w:p w14:paraId="13D57585" w14:textId="284D5431" w:rsidR="00F33F0D" w:rsidRPr="001941B0" w:rsidRDefault="00F33F0D" w:rsidP="00F33F0D">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094A53CB" w14:textId="0E1EF343" w:rsidR="000306EA" w:rsidRPr="001941B0" w:rsidRDefault="000306EA" w:rsidP="000306EA">
            <w:pPr>
              <w:autoSpaceDE w:val="0"/>
              <w:autoSpaceDN w:val="0"/>
              <w:adjustRightInd w:val="0"/>
              <w:spacing w:after="0" w:line="240" w:lineRule="auto"/>
              <w:rPr>
                <w:rFonts w:cs="Calibri"/>
                <w:bCs/>
                <w:sz w:val="20"/>
                <w:szCs w:val="20"/>
              </w:rPr>
            </w:pPr>
            <w:r w:rsidRPr="001941B0">
              <w:rPr>
                <w:rFonts w:cs="Calibri"/>
                <w:bCs/>
                <w:sz w:val="20"/>
                <w:szCs w:val="20"/>
              </w:rPr>
              <w:t>11. Zgodnie z art. 11c ust. 6 ustawy o systemie informacji w ochronie zdrowia: „Minister właściwy do spraw zdrowia może przekazywać do systemu Domowej Opieki Medycznej dane, o których mowa w ust. 2, przetwarzane w innych systemach teleinformatycznych, dla których jest administratorem danych, a także może przekazywać</w:t>
            </w:r>
            <w:r w:rsidR="001E64B5" w:rsidRPr="001941B0">
              <w:rPr>
                <w:rFonts w:cs="Calibri"/>
                <w:bCs/>
                <w:sz w:val="20"/>
                <w:szCs w:val="20"/>
              </w:rPr>
              <w:t xml:space="preserve"> </w:t>
            </w:r>
            <w:r w:rsidRPr="001941B0">
              <w:rPr>
                <w:rFonts w:cs="Calibri"/>
                <w:bCs/>
                <w:sz w:val="20"/>
                <w:szCs w:val="20"/>
              </w:rPr>
              <w:t>dane przetwarzane w Systemie Domowej Opieki Medycznej do innych systemów teleinformatycznych, dla których jest administratorem danych, w celu monitorowania polityki zdrowotnej państwa oraz podnoszenia jakości i dostępności świadczeń opieki zdrowotnej.”. Po pierwsze, użycie w projektowanym przepisie sformułowania „może przekazywać” daje ministrowi właściwemu do spraw zdrowia możliwość przekazywania do systemu Domowej Opieki Medycznej danych osobowych na podstawie subiektywnej i uznaniowej decyzji, dlatego ustawowo określone powinny zostać przesłanki podjęcia takiej decyzji. Po drugie, przepis nie określa też, z których systemów teleinformatycznych miałyby być przekazywane dane, ani do których przekazywane, co wpływa na niejasność projektowanego przepisu, gdyż nie każdy rejestr publiczny, będący systemem teleinformatycznym, którego administratorem jest minister właściwy do spraw zdrowia może być klasyfikowany ustawowo jako system teleinformatyczny. Dodatkowo, ustawa o systemie informacji w ochronie zdrowia część odpowiedzialności za administrowanie systemów teleinformatycznych, których</w:t>
            </w:r>
            <w:r w:rsidR="00DD60E1" w:rsidRPr="001941B0">
              <w:rPr>
                <w:rFonts w:cs="Calibri"/>
                <w:bCs/>
                <w:sz w:val="20"/>
                <w:szCs w:val="20"/>
              </w:rPr>
              <w:t xml:space="preserve"> </w:t>
            </w:r>
            <w:r w:rsidRPr="001941B0">
              <w:rPr>
                <w:rFonts w:cs="Calibri"/>
                <w:bCs/>
                <w:sz w:val="20"/>
                <w:szCs w:val="20"/>
              </w:rPr>
              <w:t>administratorem jest Minister Zdrowia, przypisuje jednostce podległej ministrowi właściwemu do spraw zdrowia właściwej w zakresie systemów informacyjnych ochrony zdrowia, co wpływa negatywnie na przejrzystość projektowanych przepisów (jest to problem systemowy wielokrotnie sygnalizowany przez organ</w:t>
            </w:r>
            <w:r w:rsidR="00DD60E1" w:rsidRPr="001941B0">
              <w:rPr>
                <w:rFonts w:cs="Calibri"/>
                <w:bCs/>
                <w:sz w:val="20"/>
                <w:szCs w:val="20"/>
              </w:rPr>
              <w:t xml:space="preserve"> </w:t>
            </w:r>
            <w:r w:rsidRPr="001941B0">
              <w:rPr>
                <w:rFonts w:cs="Calibri"/>
                <w:bCs/>
                <w:sz w:val="20"/>
                <w:szCs w:val="20"/>
              </w:rPr>
              <w:t>nadzorczy, nadal nie uregulowany w przepisach prawa). Ogólny cel, jakim jest monitorowanie polityki zdrowotnej państwa oraz podnoszenie jakości i dostępności świadczeń opieki zdrowotnej, nie uzasadnia w ocenie organu nadzorczego możliwości</w:t>
            </w:r>
            <w:r w:rsidR="00DD60E1" w:rsidRPr="001941B0">
              <w:rPr>
                <w:rFonts w:cs="Calibri"/>
                <w:bCs/>
                <w:sz w:val="20"/>
                <w:szCs w:val="20"/>
              </w:rPr>
              <w:t xml:space="preserve"> </w:t>
            </w:r>
            <w:r w:rsidRPr="001941B0">
              <w:rPr>
                <w:rFonts w:cs="Calibri"/>
                <w:bCs/>
                <w:sz w:val="20"/>
                <w:szCs w:val="20"/>
              </w:rPr>
              <w:t>przekazywania do Systemu Domowej Opieki Medycznej danych</w:t>
            </w:r>
            <w:r w:rsidR="00DD60E1" w:rsidRPr="001941B0">
              <w:rPr>
                <w:rFonts w:cs="Calibri"/>
                <w:bCs/>
                <w:sz w:val="20"/>
                <w:szCs w:val="20"/>
              </w:rPr>
              <w:t xml:space="preserve"> </w:t>
            </w:r>
            <w:r w:rsidRPr="001941B0">
              <w:rPr>
                <w:rFonts w:cs="Calibri"/>
                <w:bCs/>
                <w:sz w:val="20"/>
                <w:szCs w:val="20"/>
              </w:rPr>
              <w:lastRenderedPageBreak/>
              <w:t>niespseudonimizowanych na podstawie uznaniowej decyzji ministra (organu władzy wykonawczej).</w:t>
            </w:r>
          </w:p>
          <w:p w14:paraId="037D5630" w14:textId="77777777" w:rsidR="000306EA" w:rsidRPr="001941B0" w:rsidRDefault="000306EA" w:rsidP="000306EA">
            <w:pPr>
              <w:autoSpaceDE w:val="0"/>
              <w:autoSpaceDN w:val="0"/>
              <w:adjustRightInd w:val="0"/>
              <w:spacing w:after="0" w:line="240" w:lineRule="auto"/>
              <w:rPr>
                <w:rFonts w:cs="Calibri"/>
                <w:bCs/>
                <w:sz w:val="20"/>
                <w:szCs w:val="20"/>
              </w:rPr>
            </w:pPr>
            <w:r w:rsidRPr="001941B0">
              <w:rPr>
                <w:rFonts w:cs="Calibri"/>
                <w:bCs/>
                <w:sz w:val="20"/>
                <w:szCs w:val="20"/>
              </w:rPr>
              <w:t>Konstytucyjna zasada legalizmu wymaga, aby przetwarzanie danych osobowych przez podmioty publiczne odbywało się na podstawie i w granicach przepisów prawa. Uwaga odnosi się również do procesu udostępniania danych, o którym mowa w art. 11c ust. 7 ustawy o systemie informacji w ochronie zdrowia. Zgodnie z tym przepisem: „Minister właściwy do spraw zdrowia może udostępnić dane gromadzone w systemie Domowej Opieki Medycznej: 1) Narodowemu Funduszowi Zdrowia, 2) Agencji Badań Medycznych, 3) Agencji Oceny Technologii Medycznych i Taryfikacji, 4) Urzędowi Rejestracji Produktów Leczniczych, Wyrobów Medycznych i Produktów Biobójczych – w celu monitorowania polityki zdrowotnej państwa oraz podnoszenia jakości i dostępności świadczeń opieki zdrowotnej.”. W omawianym przypadku będzie dochodzić dodatkowo do przekazywania danych innym administratorom bez określenia trybu i zasad tego udostępniania, w celach innych niż pierwotne, jak również bez określenia warunków bezpieczeństwa przetwarzania danych. Należy dodatkowo wskazać, że cele</w:t>
            </w:r>
          </w:p>
          <w:p w14:paraId="7A600ED4" w14:textId="77777777" w:rsidR="000306EA" w:rsidRPr="001941B0" w:rsidRDefault="000306EA" w:rsidP="000306EA">
            <w:pPr>
              <w:autoSpaceDE w:val="0"/>
              <w:autoSpaceDN w:val="0"/>
              <w:adjustRightInd w:val="0"/>
              <w:spacing w:after="0" w:line="240" w:lineRule="auto"/>
              <w:rPr>
                <w:rFonts w:cs="Calibri"/>
                <w:bCs/>
                <w:sz w:val="20"/>
                <w:szCs w:val="20"/>
              </w:rPr>
            </w:pPr>
            <w:r w:rsidRPr="001941B0">
              <w:rPr>
                <w:rFonts w:cs="Calibri"/>
                <w:bCs/>
                <w:sz w:val="20"/>
                <w:szCs w:val="20"/>
              </w:rPr>
              <w:t>przetwarzania wynikające z projektowanego przepisu są bardzo ogólne oraz nie mają legalnej definicji, którą powinny mieć w tym kontekście. Nie wiadomo również, które dane odnoszą się do jakich podmiotów i czy będą to również dane osobowe. Mocą art. 24 i 32 rozporządzenia 2016/679 nałożony jest na projektodawcę</w:t>
            </w:r>
          </w:p>
          <w:p w14:paraId="5225DF57" w14:textId="77777777" w:rsidR="000306EA" w:rsidRPr="001941B0" w:rsidRDefault="000306EA" w:rsidP="000306EA">
            <w:pPr>
              <w:autoSpaceDE w:val="0"/>
              <w:autoSpaceDN w:val="0"/>
              <w:adjustRightInd w:val="0"/>
              <w:spacing w:after="0" w:line="240" w:lineRule="auto"/>
              <w:rPr>
                <w:rFonts w:cs="Calibri"/>
                <w:bCs/>
                <w:sz w:val="20"/>
                <w:szCs w:val="20"/>
              </w:rPr>
            </w:pPr>
            <w:r w:rsidRPr="001941B0">
              <w:rPr>
                <w:rFonts w:cs="Calibri"/>
                <w:bCs/>
                <w:sz w:val="20"/>
                <w:szCs w:val="20"/>
              </w:rPr>
              <w:t xml:space="preserve">obowiązek zaprojektowania takich rozwiązań prawnych, w tym trybu udostępniania i pozyskiwania, które zapewnią odpowiednią ochronę danych osobowych z wyeliminowaniem ryzyka dla dowolnego przetwarzania danych przez osoby </w:t>
            </w:r>
            <w:r w:rsidRPr="001941B0">
              <w:rPr>
                <w:rFonts w:cs="Calibri"/>
                <w:bCs/>
                <w:sz w:val="20"/>
                <w:szCs w:val="20"/>
              </w:rPr>
              <w:lastRenderedPageBreak/>
              <w:t>nieuprawnione lub niezgodnie z celem ich uzyskania (por. wyrok NSA z 3 grudnia 2021 r., III OSK 590/21)</w:t>
            </w:r>
            <w:r w:rsidRPr="001941B0">
              <w:rPr>
                <w:rStyle w:val="Odwoanieprzypisudolnego"/>
                <w:rFonts w:cs="Calibri"/>
                <w:bCs/>
                <w:sz w:val="20"/>
                <w:szCs w:val="20"/>
              </w:rPr>
              <w:footnoteReference w:id="19"/>
            </w:r>
          </w:p>
          <w:p w14:paraId="11F5DE0E" w14:textId="77777777" w:rsidR="000306EA" w:rsidRPr="001941B0" w:rsidRDefault="000306EA" w:rsidP="000306EA">
            <w:pPr>
              <w:autoSpaceDE w:val="0"/>
              <w:autoSpaceDN w:val="0"/>
              <w:adjustRightInd w:val="0"/>
              <w:spacing w:after="0" w:line="240" w:lineRule="auto"/>
              <w:rPr>
                <w:rFonts w:cs="Calibri"/>
                <w:bCs/>
                <w:sz w:val="20"/>
                <w:szCs w:val="20"/>
              </w:rPr>
            </w:pPr>
          </w:p>
          <w:p w14:paraId="20548393" w14:textId="77777777" w:rsidR="000306EA" w:rsidRPr="001941B0" w:rsidRDefault="000306EA" w:rsidP="000306EA">
            <w:pPr>
              <w:autoSpaceDE w:val="0"/>
              <w:autoSpaceDN w:val="0"/>
              <w:adjustRightInd w:val="0"/>
              <w:spacing w:after="0" w:line="240" w:lineRule="auto"/>
              <w:rPr>
                <w:rFonts w:eastAsiaTheme="minorEastAsia"/>
                <w:sz w:val="20"/>
                <w:szCs w:val="20"/>
              </w:rPr>
            </w:pPr>
            <w:r w:rsidRPr="001941B0">
              <w:rPr>
                <w:rFonts w:eastAsiaTheme="minorEastAsia"/>
                <w:sz w:val="20"/>
                <w:szCs w:val="20"/>
              </w:rPr>
              <w:t>12. Uwaga odnosi się analogicznie do:</w:t>
            </w:r>
          </w:p>
          <w:p w14:paraId="654852A0" w14:textId="77777777" w:rsidR="000306EA" w:rsidRPr="001941B0" w:rsidRDefault="000306EA" w:rsidP="000306EA">
            <w:pPr>
              <w:autoSpaceDE w:val="0"/>
              <w:autoSpaceDN w:val="0"/>
              <w:adjustRightInd w:val="0"/>
              <w:spacing w:after="0" w:line="240" w:lineRule="auto"/>
              <w:rPr>
                <w:rFonts w:eastAsiaTheme="minorEastAsia"/>
                <w:sz w:val="20"/>
                <w:szCs w:val="20"/>
              </w:rPr>
            </w:pPr>
            <w:r w:rsidRPr="001941B0">
              <w:rPr>
                <w:rFonts w:eastAsiaTheme="minorEastAsia"/>
                <w:sz w:val="20"/>
                <w:szCs w:val="20"/>
              </w:rPr>
              <w:t>- art. 11d ust. 8 i 9 ustawy o systemie informacji w ochronie zdrowia w zakresie sytemu e-Konsylium,</w:t>
            </w:r>
          </w:p>
          <w:p w14:paraId="2296B51E" w14:textId="77777777" w:rsidR="000306EA" w:rsidRPr="001941B0" w:rsidRDefault="000306EA" w:rsidP="000306EA">
            <w:pPr>
              <w:autoSpaceDE w:val="0"/>
              <w:autoSpaceDN w:val="0"/>
              <w:adjustRightInd w:val="0"/>
              <w:spacing w:after="0" w:line="240" w:lineRule="auto"/>
              <w:rPr>
                <w:rFonts w:eastAsiaTheme="minorEastAsia"/>
                <w:sz w:val="20"/>
                <w:szCs w:val="20"/>
              </w:rPr>
            </w:pPr>
            <w:r w:rsidRPr="001941B0">
              <w:rPr>
                <w:rFonts w:eastAsiaTheme="minorEastAsia"/>
                <w:sz w:val="20"/>
                <w:szCs w:val="20"/>
              </w:rPr>
              <w:t>- art. 31d ust. 7 oraz ustawy o systemie informacji w ochronie zdrowia w zakresie Platformy Usług Inteligentnych.</w:t>
            </w:r>
          </w:p>
          <w:p w14:paraId="7F0A2928" w14:textId="77777777" w:rsidR="00F33F0D" w:rsidRPr="001941B0" w:rsidRDefault="00F33F0D" w:rsidP="00F33F0D">
            <w:pPr>
              <w:autoSpaceDE w:val="0"/>
              <w:autoSpaceDN w:val="0"/>
              <w:adjustRightInd w:val="0"/>
              <w:spacing w:after="0" w:line="240" w:lineRule="auto"/>
              <w:rPr>
                <w:rFonts w:eastAsiaTheme="minorEastAsia"/>
                <w:b/>
                <w:bCs/>
                <w:sz w:val="20"/>
                <w:szCs w:val="20"/>
              </w:rPr>
            </w:pPr>
          </w:p>
        </w:tc>
        <w:tc>
          <w:tcPr>
            <w:tcW w:w="2855" w:type="dxa"/>
            <w:shd w:val="clear" w:color="auto" w:fill="FFFFFF" w:themeFill="background1"/>
          </w:tcPr>
          <w:p w14:paraId="7C8B2919" w14:textId="0A7B07CE" w:rsidR="0055000A" w:rsidRPr="001941B0" w:rsidRDefault="0055000A" w:rsidP="0055000A">
            <w:pPr>
              <w:autoSpaceDE w:val="0"/>
              <w:autoSpaceDN w:val="0"/>
              <w:adjustRightInd w:val="0"/>
              <w:spacing w:after="0" w:line="240" w:lineRule="auto"/>
              <w:rPr>
                <w:b/>
                <w:bCs/>
                <w:sz w:val="20"/>
                <w:szCs w:val="20"/>
              </w:rPr>
            </w:pPr>
            <w:r w:rsidRPr="001941B0">
              <w:rPr>
                <w:b/>
                <w:bCs/>
                <w:sz w:val="20"/>
                <w:szCs w:val="20"/>
              </w:rPr>
              <w:lastRenderedPageBreak/>
              <w:t>Uwaga częściowo uwzględniona</w:t>
            </w:r>
            <w:r w:rsidR="00977387" w:rsidRPr="001941B0">
              <w:rPr>
                <w:b/>
                <w:bCs/>
                <w:sz w:val="20"/>
                <w:szCs w:val="20"/>
              </w:rPr>
              <w:t xml:space="preserve"> w zakresie może przekazywać.</w:t>
            </w:r>
          </w:p>
          <w:p w14:paraId="3D0E83C7" w14:textId="0E12E46F" w:rsidR="0055000A" w:rsidRPr="001941B0" w:rsidRDefault="0055000A" w:rsidP="0055000A">
            <w:pPr>
              <w:autoSpaceDE w:val="0"/>
              <w:autoSpaceDN w:val="0"/>
              <w:adjustRightInd w:val="0"/>
              <w:spacing w:after="0" w:line="240" w:lineRule="auto"/>
              <w:rPr>
                <w:sz w:val="20"/>
                <w:szCs w:val="20"/>
              </w:rPr>
            </w:pPr>
            <w:r w:rsidRPr="001941B0">
              <w:rPr>
                <w:rFonts w:cstheme="minorHAnsi"/>
                <w:bCs/>
                <w:iCs/>
                <w:sz w:val="20"/>
                <w:szCs w:val="20"/>
              </w:rPr>
              <w:t>W ocenie MZ cel</w:t>
            </w:r>
            <w:r w:rsidRPr="001941B0">
              <w:rPr>
                <w:sz w:val="20"/>
                <w:szCs w:val="20"/>
              </w:rPr>
              <w:t xml:space="preserve"> umożliwiający przekazywanie danych </w:t>
            </w:r>
            <w:r w:rsidRPr="001941B0">
              <w:rPr>
                <w:rFonts w:cstheme="minorHAnsi"/>
                <w:bCs/>
                <w:iCs/>
                <w:sz w:val="20"/>
                <w:szCs w:val="20"/>
              </w:rPr>
              <w:t>niespseudonimizowanych</w:t>
            </w:r>
          </w:p>
          <w:p w14:paraId="633DDC9B" w14:textId="4CD0DB09" w:rsidR="0055000A" w:rsidRPr="001941B0" w:rsidRDefault="0055000A" w:rsidP="0055000A">
            <w:pPr>
              <w:autoSpaceDE w:val="0"/>
              <w:autoSpaceDN w:val="0"/>
              <w:adjustRightInd w:val="0"/>
              <w:spacing w:after="0" w:line="240" w:lineRule="auto"/>
              <w:rPr>
                <w:rFonts w:cstheme="minorHAnsi"/>
                <w:bCs/>
                <w:iCs/>
                <w:sz w:val="20"/>
                <w:szCs w:val="20"/>
              </w:rPr>
            </w:pPr>
            <w:r w:rsidRPr="001941B0">
              <w:rPr>
                <w:rFonts w:cstheme="minorHAnsi"/>
                <w:bCs/>
                <w:iCs/>
                <w:sz w:val="20"/>
                <w:szCs w:val="20"/>
              </w:rPr>
              <w:t>został określony w projektowanej ustawie w sposób wystarczający.</w:t>
            </w:r>
          </w:p>
          <w:p w14:paraId="43256808" w14:textId="77777777" w:rsidR="0055000A" w:rsidRPr="001941B0" w:rsidRDefault="0055000A" w:rsidP="0055000A">
            <w:pPr>
              <w:autoSpaceDE w:val="0"/>
              <w:autoSpaceDN w:val="0"/>
              <w:adjustRightInd w:val="0"/>
              <w:spacing w:after="0" w:line="240" w:lineRule="auto"/>
              <w:rPr>
                <w:b/>
                <w:bCs/>
                <w:sz w:val="20"/>
                <w:szCs w:val="20"/>
              </w:rPr>
            </w:pPr>
          </w:p>
          <w:p w14:paraId="43D9EC6D" w14:textId="11516E0A" w:rsidR="00D00574" w:rsidRPr="001941B0" w:rsidRDefault="00D00574" w:rsidP="0055000A">
            <w:pPr>
              <w:autoSpaceDE w:val="0"/>
              <w:autoSpaceDN w:val="0"/>
              <w:adjustRightInd w:val="0"/>
              <w:spacing w:after="0" w:line="240" w:lineRule="auto"/>
              <w:rPr>
                <w:rFonts w:cstheme="minorHAnsi"/>
                <w:bCs/>
                <w:iCs/>
                <w:sz w:val="20"/>
                <w:szCs w:val="20"/>
              </w:rPr>
            </w:pPr>
          </w:p>
        </w:tc>
      </w:tr>
      <w:tr w:rsidR="00FC7212" w:rsidRPr="001941B0" w14:paraId="77C21281" w14:textId="77777777" w:rsidTr="7139DBB9">
        <w:tc>
          <w:tcPr>
            <w:tcW w:w="1125" w:type="dxa"/>
            <w:shd w:val="clear" w:color="auto" w:fill="FFFFFF" w:themeFill="background1"/>
          </w:tcPr>
          <w:p w14:paraId="355C8902" w14:textId="77777777" w:rsidR="000C3694" w:rsidRPr="001941B0" w:rsidRDefault="000C3694"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A00D829" w14:textId="5AF9F120" w:rsidR="000C3694" w:rsidRPr="001941B0" w:rsidRDefault="000C3694"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0691D49E" w14:textId="30C5B64A" w:rsidR="000C3694" w:rsidRPr="001941B0" w:rsidRDefault="000C3694" w:rsidP="00F33F0D">
            <w:pPr>
              <w:autoSpaceDE w:val="0"/>
              <w:autoSpaceDN w:val="0"/>
              <w:adjustRightInd w:val="0"/>
              <w:spacing w:after="0" w:line="240" w:lineRule="auto"/>
              <w:rPr>
                <w:rFonts w:cs="Calibri"/>
                <w:b/>
                <w:bCs/>
                <w:sz w:val="20"/>
                <w:szCs w:val="20"/>
              </w:rPr>
            </w:pPr>
            <w:r w:rsidRPr="001941B0">
              <w:rPr>
                <w:rFonts w:cs="Calibri"/>
                <w:sz w:val="20"/>
                <w:szCs w:val="20"/>
              </w:rPr>
              <w:t xml:space="preserve">Art. 5 pkt 17 </w:t>
            </w:r>
          </w:p>
          <w:p w14:paraId="5C6C2E40" w14:textId="77777777" w:rsidR="00037274" w:rsidRPr="001941B0" w:rsidRDefault="00037274" w:rsidP="00F33F0D">
            <w:pPr>
              <w:autoSpaceDE w:val="0"/>
              <w:autoSpaceDN w:val="0"/>
              <w:adjustRightInd w:val="0"/>
              <w:spacing w:after="0" w:line="240" w:lineRule="auto"/>
              <w:rPr>
                <w:rFonts w:cs="Calibri"/>
                <w:b/>
                <w:bCs/>
                <w:sz w:val="20"/>
                <w:szCs w:val="20"/>
              </w:rPr>
            </w:pPr>
          </w:p>
          <w:p w14:paraId="4D716CD8" w14:textId="11F9830C" w:rsidR="000C3694" w:rsidRPr="001941B0" w:rsidRDefault="000C3694" w:rsidP="00F33F0D">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4CF8B65D" w14:textId="7B6105EB" w:rsidR="00352010" w:rsidRPr="001941B0" w:rsidRDefault="5F0A2FB3" w:rsidP="384C731A">
            <w:pPr>
              <w:autoSpaceDE w:val="0"/>
              <w:autoSpaceDN w:val="0"/>
              <w:adjustRightInd w:val="0"/>
              <w:spacing w:after="0" w:line="240" w:lineRule="auto"/>
              <w:rPr>
                <w:rFonts w:cs="Calibri"/>
                <w:sz w:val="20"/>
                <w:szCs w:val="20"/>
              </w:rPr>
            </w:pPr>
            <w:r w:rsidRPr="001941B0">
              <w:rPr>
                <w:rFonts w:cs="Calibri"/>
                <w:sz w:val="20"/>
                <w:szCs w:val="20"/>
              </w:rPr>
              <w:t>20. Zgodnie z art. 31d ust. 5 ustawy o systemie informacji w ochronie zdrowia: „5. Dane osobowe usługobiorcy, o których mowa w ust. 2 pkt 2, i jednostkowe dane medyczne, o których mowa w ust. 2 pkt 5, przekazywane do przetwarzania przez</w:t>
            </w:r>
          </w:p>
          <w:p w14:paraId="3E6A3373" w14:textId="6BF6C9DE" w:rsidR="00352010" w:rsidRPr="001941B0" w:rsidRDefault="00352010" w:rsidP="00352010">
            <w:pPr>
              <w:autoSpaceDE w:val="0"/>
              <w:autoSpaceDN w:val="0"/>
              <w:adjustRightInd w:val="0"/>
              <w:spacing w:after="0" w:line="240" w:lineRule="auto"/>
              <w:rPr>
                <w:rFonts w:cs="Calibri"/>
                <w:bCs/>
                <w:sz w:val="20"/>
                <w:szCs w:val="20"/>
              </w:rPr>
            </w:pPr>
            <w:r w:rsidRPr="001941B0">
              <w:rPr>
                <w:rFonts w:cs="Calibri"/>
                <w:bCs/>
                <w:sz w:val="20"/>
                <w:szCs w:val="20"/>
              </w:rPr>
              <w:t>narzędzia wspomagające podlegają pseudonimizacji, w sposób uniemożliwiający bezpośrednią identyfikację osoby fizycznej, jeżeli nie uniemożliwia to wsparcia procesu diagnostycznego, o którym mowa w ust. 4 pkt 1.”. Powstaje pytanie w jaki sposób – biorąc pod uwagę istotność pseudonimizacji dla zapewnienia właściwej ochrony danych przetwarzanych w Platformie Usług Inteligentnych</w:t>
            </w:r>
          </w:p>
          <w:p w14:paraId="74059736" w14:textId="542E0886" w:rsidR="00352010" w:rsidRPr="001941B0" w:rsidRDefault="00352010" w:rsidP="00352010">
            <w:pPr>
              <w:autoSpaceDE w:val="0"/>
              <w:autoSpaceDN w:val="0"/>
              <w:adjustRightInd w:val="0"/>
              <w:spacing w:after="0" w:line="240" w:lineRule="auto"/>
              <w:rPr>
                <w:rFonts w:cs="Calibri"/>
                <w:bCs/>
                <w:sz w:val="20"/>
                <w:szCs w:val="20"/>
              </w:rPr>
            </w:pPr>
            <w:r w:rsidRPr="001941B0">
              <w:rPr>
                <w:rFonts w:cs="Calibri"/>
                <w:bCs/>
                <w:sz w:val="20"/>
                <w:szCs w:val="20"/>
              </w:rPr>
              <w:t>– będzie oceniane i przez kogo, czy spseudonimizowanie danych uniemożliwi wsparcie procesu diagnostycznego. Powyższy przepis wymaga doprecyzowania pod tym względem, gdyż w obecnym kształcie nie odpowiada zasadzie zgodności z prawem,</w:t>
            </w:r>
          </w:p>
          <w:p w14:paraId="13696D0B" w14:textId="1586F286" w:rsidR="000C3694" w:rsidRPr="001941B0" w:rsidRDefault="00352010" w:rsidP="00352010">
            <w:pPr>
              <w:autoSpaceDE w:val="0"/>
              <w:autoSpaceDN w:val="0"/>
              <w:adjustRightInd w:val="0"/>
              <w:spacing w:after="0" w:line="240" w:lineRule="auto"/>
              <w:rPr>
                <w:rFonts w:cs="Calibri"/>
                <w:bCs/>
                <w:sz w:val="20"/>
                <w:szCs w:val="20"/>
              </w:rPr>
            </w:pPr>
            <w:r w:rsidRPr="001941B0">
              <w:rPr>
                <w:rFonts w:cs="Calibri"/>
                <w:bCs/>
                <w:sz w:val="20"/>
                <w:szCs w:val="20"/>
              </w:rPr>
              <w:t>rzetelności i przejrzystości.</w:t>
            </w:r>
          </w:p>
        </w:tc>
        <w:tc>
          <w:tcPr>
            <w:tcW w:w="2855" w:type="dxa"/>
            <w:shd w:val="clear" w:color="auto" w:fill="FFFFFF" w:themeFill="background1"/>
          </w:tcPr>
          <w:p w14:paraId="5715B593" w14:textId="549E02FF" w:rsidR="000C3694" w:rsidRPr="001941B0" w:rsidRDefault="00AC0EBD" w:rsidP="00F33F0D">
            <w:pPr>
              <w:autoSpaceDE w:val="0"/>
              <w:autoSpaceDN w:val="0"/>
              <w:adjustRightInd w:val="0"/>
              <w:spacing w:after="0" w:line="240" w:lineRule="auto"/>
              <w:rPr>
                <w:rFonts w:cstheme="minorHAnsi"/>
                <w:b/>
                <w:iCs/>
                <w:sz w:val="20"/>
                <w:szCs w:val="20"/>
              </w:rPr>
            </w:pPr>
            <w:r w:rsidRPr="001941B0">
              <w:rPr>
                <w:rFonts w:cstheme="minorHAnsi"/>
                <w:b/>
                <w:iCs/>
                <w:sz w:val="20"/>
                <w:szCs w:val="20"/>
              </w:rPr>
              <w:t>Wyjaśnienie</w:t>
            </w:r>
          </w:p>
          <w:p w14:paraId="366EE3CD" w14:textId="77777777" w:rsidR="006B28AA" w:rsidRPr="001941B0" w:rsidRDefault="006B28AA" w:rsidP="006B28AA">
            <w:pPr>
              <w:autoSpaceDE w:val="0"/>
              <w:autoSpaceDN w:val="0"/>
              <w:adjustRightInd w:val="0"/>
              <w:spacing w:after="0" w:line="240" w:lineRule="auto"/>
              <w:rPr>
                <w:rFonts w:cstheme="minorHAnsi"/>
                <w:bCs/>
                <w:iCs/>
                <w:sz w:val="20"/>
                <w:szCs w:val="20"/>
              </w:rPr>
            </w:pPr>
            <w:r w:rsidRPr="001941B0">
              <w:rPr>
                <w:rFonts w:cstheme="minorHAnsi"/>
                <w:bCs/>
                <w:iCs/>
                <w:sz w:val="20"/>
                <w:szCs w:val="20"/>
              </w:rPr>
              <w:t>Platforma Usług Inteligentnych różni się funkcjonalnie od systemów takich jak P1, ponieważ nie przetwarza pełnego zakresu danych identyfikujących usługobiorców (np. danych wykorzystywanych w obsłudze recept). W procesie analizy badań obrazowych wykorzystywany jest identyfikator techniczny umożliwiający powiązanie wyniku analizy z właściwym badaniem, bez konieczności przetwarzania danych bezpośrednio identyfikujących osobę fizyczną.</w:t>
            </w:r>
          </w:p>
          <w:p w14:paraId="57261082" w14:textId="77777777" w:rsidR="006B28AA" w:rsidRPr="001941B0" w:rsidRDefault="006B28AA" w:rsidP="006B28AA">
            <w:pPr>
              <w:autoSpaceDE w:val="0"/>
              <w:autoSpaceDN w:val="0"/>
              <w:adjustRightInd w:val="0"/>
              <w:spacing w:after="0" w:line="240" w:lineRule="auto"/>
              <w:rPr>
                <w:rFonts w:cstheme="minorHAnsi"/>
                <w:bCs/>
                <w:iCs/>
                <w:sz w:val="20"/>
                <w:szCs w:val="20"/>
              </w:rPr>
            </w:pPr>
            <w:r w:rsidRPr="001941B0">
              <w:rPr>
                <w:rFonts w:cstheme="minorHAnsi"/>
                <w:bCs/>
                <w:iCs/>
                <w:sz w:val="20"/>
                <w:szCs w:val="20"/>
              </w:rPr>
              <w:t xml:space="preserve">Dane przekazywane do narzędzi wspomagających podlegają pseudonimizacji w </w:t>
            </w:r>
            <w:r w:rsidRPr="001941B0">
              <w:rPr>
                <w:rFonts w:cstheme="minorHAnsi"/>
                <w:bCs/>
                <w:iCs/>
                <w:sz w:val="20"/>
                <w:szCs w:val="20"/>
              </w:rPr>
              <w:lastRenderedPageBreak/>
              <w:t>sposób domyślny. Pseudonimizacja nie wpływa negatywnie na możliwość wsparcia procesu diagnostycznego, ponieważ modele sztucznej inteligencji analizują przede wszystkim dane obrazowe badań diagnostycznych.</w:t>
            </w:r>
          </w:p>
          <w:p w14:paraId="6A541E52" w14:textId="77777777" w:rsidR="006B28AA" w:rsidRPr="001941B0" w:rsidRDefault="006B28AA" w:rsidP="006B28AA">
            <w:pPr>
              <w:autoSpaceDE w:val="0"/>
              <w:autoSpaceDN w:val="0"/>
              <w:adjustRightInd w:val="0"/>
              <w:spacing w:after="0" w:line="240" w:lineRule="auto"/>
              <w:rPr>
                <w:rFonts w:cstheme="minorHAnsi"/>
                <w:bCs/>
                <w:iCs/>
                <w:sz w:val="20"/>
                <w:szCs w:val="20"/>
              </w:rPr>
            </w:pPr>
            <w:r w:rsidRPr="001941B0">
              <w:rPr>
                <w:rFonts w:cstheme="minorHAnsi"/>
                <w:bCs/>
                <w:iCs/>
                <w:sz w:val="20"/>
                <w:szCs w:val="20"/>
              </w:rPr>
              <w:t>Ewentualne odstąpienie od pseudonimizacji może nastąpić wyłącznie w sytuacji, gdy z przyczyn technicznych nie jest możliwe jej zastosowanie bez naruszenia integralności danych diagnostycznych. Ocena ta wynika z obiektywnych uwarunkowań technicznych systemu i nie ma charakteru uznaniowego</w:t>
            </w:r>
          </w:p>
          <w:p w14:paraId="4E88F8EA" w14:textId="10552533" w:rsidR="000568A3" w:rsidRPr="001941B0" w:rsidRDefault="000568A3" w:rsidP="384C731A">
            <w:pPr>
              <w:autoSpaceDE w:val="0"/>
              <w:autoSpaceDN w:val="0"/>
              <w:adjustRightInd w:val="0"/>
              <w:spacing w:after="0" w:line="240" w:lineRule="auto"/>
              <w:rPr>
                <w:sz w:val="20"/>
                <w:szCs w:val="20"/>
              </w:rPr>
            </w:pPr>
          </w:p>
        </w:tc>
      </w:tr>
      <w:tr w:rsidR="00FC7212" w:rsidRPr="001941B0" w14:paraId="108A1CFC" w14:textId="77777777" w:rsidTr="7139DBB9">
        <w:tc>
          <w:tcPr>
            <w:tcW w:w="1125" w:type="dxa"/>
            <w:shd w:val="clear" w:color="auto" w:fill="FFFFFF" w:themeFill="background1"/>
          </w:tcPr>
          <w:p w14:paraId="17440F2B" w14:textId="77777777" w:rsidR="000C3694" w:rsidRPr="001941B0" w:rsidRDefault="000C3694"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90694E0" w14:textId="143E739D" w:rsidR="000C3694" w:rsidRPr="001941B0" w:rsidRDefault="000C3694"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4FF4B883" w14:textId="6CB00DC8" w:rsidR="000C3694" w:rsidRPr="001941B0" w:rsidRDefault="000C3694" w:rsidP="00F33F0D">
            <w:pPr>
              <w:autoSpaceDE w:val="0"/>
              <w:autoSpaceDN w:val="0"/>
              <w:adjustRightInd w:val="0"/>
              <w:spacing w:after="0" w:line="240" w:lineRule="auto"/>
              <w:rPr>
                <w:rFonts w:cs="Calibri"/>
                <w:b/>
                <w:bCs/>
                <w:sz w:val="20"/>
                <w:szCs w:val="20"/>
              </w:rPr>
            </w:pPr>
            <w:r w:rsidRPr="001941B0">
              <w:rPr>
                <w:rFonts w:cs="Calibri"/>
                <w:sz w:val="20"/>
                <w:szCs w:val="20"/>
              </w:rPr>
              <w:t>Art. 5 pkt 17</w:t>
            </w:r>
            <w:r w:rsidRPr="001941B0">
              <w:rPr>
                <w:rFonts w:cs="Calibri"/>
                <w:b/>
                <w:bCs/>
                <w:sz w:val="20"/>
                <w:szCs w:val="20"/>
              </w:rPr>
              <w:t xml:space="preserve"> </w:t>
            </w:r>
          </w:p>
          <w:p w14:paraId="06C04B41" w14:textId="77777777" w:rsidR="00672B48" w:rsidRPr="001941B0" w:rsidRDefault="00672B48" w:rsidP="00F33F0D">
            <w:pPr>
              <w:autoSpaceDE w:val="0"/>
              <w:autoSpaceDN w:val="0"/>
              <w:adjustRightInd w:val="0"/>
              <w:spacing w:after="0" w:line="240" w:lineRule="auto"/>
              <w:rPr>
                <w:rFonts w:cs="Calibri"/>
                <w:b/>
                <w:bCs/>
                <w:sz w:val="20"/>
                <w:szCs w:val="20"/>
              </w:rPr>
            </w:pPr>
          </w:p>
          <w:p w14:paraId="7C8A2E50" w14:textId="4CAA7174" w:rsidR="000C3694" w:rsidRPr="001941B0" w:rsidRDefault="000C3694" w:rsidP="00F33F0D">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3887C33D" w14:textId="340EDEB1" w:rsidR="00816ACB" w:rsidRPr="001941B0" w:rsidRDefault="00816ACB" w:rsidP="00816ACB">
            <w:pPr>
              <w:autoSpaceDE w:val="0"/>
              <w:autoSpaceDN w:val="0"/>
              <w:adjustRightInd w:val="0"/>
              <w:spacing w:after="0" w:line="240" w:lineRule="auto"/>
              <w:rPr>
                <w:rFonts w:cs="Calibri"/>
                <w:bCs/>
                <w:sz w:val="20"/>
                <w:szCs w:val="20"/>
              </w:rPr>
            </w:pPr>
            <w:r w:rsidRPr="001941B0">
              <w:rPr>
                <w:rFonts w:cs="Calibri"/>
                <w:b/>
                <w:bCs/>
                <w:sz w:val="20"/>
                <w:szCs w:val="20"/>
              </w:rPr>
              <w:t xml:space="preserve">21. </w:t>
            </w:r>
            <w:r w:rsidRPr="001941B0">
              <w:rPr>
                <w:rFonts w:cs="Calibri"/>
                <w:bCs/>
                <w:sz w:val="20"/>
                <w:szCs w:val="20"/>
              </w:rPr>
              <w:t xml:space="preserve">Zgodnie z </w:t>
            </w:r>
            <w:r w:rsidRPr="001941B0">
              <w:rPr>
                <w:rFonts w:cs="Calibri"/>
                <w:b/>
                <w:bCs/>
                <w:sz w:val="20"/>
                <w:szCs w:val="20"/>
              </w:rPr>
              <w:t xml:space="preserve">art. 31d ust. 6 </w:t>
            </w:r>
            <w:r w:rsidRPr="001941B0">
              <w:rPr>
                <w:rFonts w:cs="Calibri"/>
                <w:bCs/>
                <w:sz w:val="20"/>
                <w:szCs w:val="20"/>
              </w:rPr>
              <w:t>ustawy o systemie informacji w ochronie zdrowia:</w:t>
            </w:r>
            <w:r w:rsidR="005347FE" w:rsidRPr="001941B0">
              <w:rPr>
                <w:rFonts w:cs="Calibri"/>
                <w:bCs/>
                <w:sz w:val="20"/>
                <w:szCs w:val="20"/>
              </w:rPr>
              <w:t xml:space="preserve"> </w:t>
            </w:r>
            <w:r w:rsidRPr="001941B0">
              <w:rPr>
                <w:rFonts w:cs="Calibri"/>
                <w:bCs/>
                <w:sz w:val="20"/>
                <w:szCs w:val="20"/>
              </w:rPr>
              <w:t>„Dane umożliwiające identyfikację osoby fizycznej, w tym numery PESEL, przechowuje się</w:t>
            </w:r>
            <w:r w:rsidR="005347FE" w:rsidRPr="001941B0">
              <w:rPr>
                <w:rFonts w:cs="Calibri"/>
                <w:bCs/>
                <w:sz w:val="20"/>
                <w:szCs w:val="20"/>
              </w:rPr>
              <w:t xml:space="preserve"> </w:t>
            </w:r>
            <w:r w:rsidRPr="001941B0">
              <w:rPr>
                <w:rFonts w:cs="Calibri"/>
                <w:bCs/>
                <w:sz w:val="20"/>
                <w:szCs w:val="20"/>
              </w:rPr>
              <w:t>w Platformie Usług Inteligentnych również po śmierci osoby, której dotyczą, wyłącznie w</w:t>
            </w:r>
            <w:r w:rsidR="005347FE" w:rsidRPr="001941B0">
              <w:rPr>
                <w:rFonts w:cs="Calibri"/>
                <w:bCs/>
                <w:sz w:val="20"/>
                <w:szCs w:val="20"/>
              </w:rPr>
              <w:t xml:space="preserve"> </w:t>
            </w:r>
            <w:r w:rsidRPr="001941B0">
              <w:rPr>
                <w:rFonts w:cs="Calibri"/>
                <w:bCs/>
                <w:sz w:val="20"/>
                <w:szCs w:val="20"/>
              </w:rPr>
              <w:t>celu zapewnienia sporządzenia raportów i analiz.”.</w:t>
            </w:r>
          </w:p>
          <w:p w14:paraId="5C1FA434" w14:textId="3CD5F370" w:rsidR="000C3694" w:rsidRPr="001941B0" w:rsidRDefault="00816ACB" w:rsidP="003C6D87">
            <w:pPr>
              <w:autoSpaceDE w:val="0"/>
              <w:autoSpaceDN w:val="0"/>
              <w:adjustRightInd w:val="0"/>
              <w:spacing w:after="0" w:line="240" w:lineRule="auto"/>
              <w:rPr>
                <w:rFonts w:cs="Calibri"/>
                <w:bCs/>
                <w:sz w:val="20"/>
                <w:szCs w:val="20"/>
              </w:rPr>
            </w:pPr>
            <w:r w:rsidRPr="001941B0">
              <w:rPr>
                <w:rFonts w:cs="Calibri"/>
                <w:bCs/>
                <w:sz w:val="20"/>
                <w:szCs w:val="20"/>
              </w:rPr>
              <w:t>Projektowany przepis powinien zostać oceniony z punktu widzenia zasady</w:t>
            </w:r>
            <w:r w:rsidR="005347FE" w:rsidRPr="001941B0">
              <w:rPr>
                <w:rFonts w:cs="Calibri"/>
                <w:bCs/>
                <w:sz w:val="20"/>
                <w:szCs w:val="20"/>
              </w:rPr>
              <w:t xml:space="preserve"> </w:t>
            </w:r>
            <w:r w:rsidRPr="001941B0">
              <w:rPr>
                <w:rFonts w:cs="Calibri"/>
                <w:bCs/>
                <w:sz w:val="20"/>
                <w:szCs w:val="20"/>
              </w:rPr>
              <w:t>ograniczenia celu, minimalizacji danych oraz ograniczenia przechowywania pod kątem</w:t>
            </w:r>
            <w:r w:rsidR="005347FE" w:rsidRPr="001941B0">
              <w:rPr>
                <w:rFonts w:cs="Calibri"/>
                <w:bCs/>
                <w:sz w:val="20"/>
                <w:szCs w:val="20"/>
              </w:rPr>
              <w:t xml:space="preserve"> </w:t>
            </w:r>
            <w:r w:rsidRPr="001941B0">
              <w:rPr>
                <w:rFonts w:cs="Calibri"/>
                <w:bCs/>
                <w:sz w:val="20"/>
                <w:szCs w:val="20"/>
              </w:rPr>
              <w:t>tego, czy wszystkie dane</w:t>
            </w:r>
            <w:r w:rsidR="005347FE" w:rsidRPr="001941B0">
              <w:rPr>
                <w:rFonts w:cs="Calibri"/>
                <w:bCs/>
                <w:sz w:val="20"/>
                <w:szCs w:val="20"/>
              </w:rPr>
              <w:t xml:space="preserve"> </w:t>
            </w:r>
            <w:r w:rsidRPr="001941B0">
              <w:rPr>
                <w:rFonts w:cs="Calibri"/>
                <w:bCs/>
                <w:sz w:val="20"/>
                <w:szCs w:val="20"/>
              </w:rPr>
              <w:t>identyfikujące osobę, łącznie z numerem PESEL, który podlega</w:t>
            </w:r>
            <w:r w:rsidR="003C6D87" w:rsidRPr="001941B0">
              <w:rPr>
                <w:rFonts w:cs="Calibri"/>
                <w:bCs/>
                <w:sz w:val="20"/>
                <w:szCs w:val="20"/>
              </w:rPr>
              <w:t xml:space="preserve"> </w:t>
            </w:r>
            <w:r w:rsidRPr="001941B0">
              <w:rPr>
                <w:rFonts w:cs="Calibri"/>
                <w:bCs/>
                <w:sz w:val="20"/>
                <w:szCs w:val="20"/>
              </w:rPr>
              <w:t>szczególnej ochronie, są niezbędne do sporządzenia raportów i analiz, oraz czy konieczne</w:t>
            </w:r>
            <w:r w:rsidR="004D6E12" w:rsidRPr="001941B0">
              <w:rPr>
                <w:rFonts w:cs="Calibri"/>
                <w:bCs/>
                <w:sz w:val="20"/>
                <w:szCs w:val="20"/>
              </w:rPr>
              <w:t xml:space="preserve"> </w:t>
            </w:r>
            <w:r w:rsidRPr="001941B0">
              <w:rPr>
                <w:rFonts w:cs="Calibri"/>
                <w:bCs/>
                <w:sz w:val="20"/>
                <w:szCs w:val="20"/>
              </w:rPr>
              <w:t>jest przechowywanie ich wieczyście, nawet w odniesieniu do osób zmarłych.</w:t>
            </w:r>
          </w:p>
        </w:tc>
        <w:tc>
          <w:tcPr>
            <w:tcW w:w="2855" w:type="dxa"/>
            <w:shd w:val="clear" w:color="auto" w:fill="FFFFFF" w:themeFill="background1"/>
          </w:tcPr>
          <w:p w14:paraId="5EB3E430" w14:textId="215C7A14" w:rsidR="002F6D7C" w:rsidRPr="001941B0" w:rsidRDefault="009F4FE6" w:rsidP="00F33F0D">
            <w:pPr>
              <w:autoSpaceDE w:val="0"/>
              <w:autoSpaceDN w:val="0"/>
              <w:adjustRightInd w:val="0"/>
              <w:spacing w:after="0" w:line="240" w:lineRule="auto"/>
              <w:rPr>
                <w:rFonts w:cstheme="minorHAnsi"/>
                <w:b/>
                <w:iCs/>
                <w:sz w:val="20"/>
                <w:szCs w:val="20"/>
              </w:rPr>
            </w:pPr>
            <w:r w:rsidRPr="001941B0">
              <w:rPr>
                <w:rFonts w:cstheme="minorHAnsi"/>
                <w:b/>
                <w:iCs/>
                <w:sz w:val="20"/>
                <w:szCs w:val="20"/>
              </w:rPr>
              <w:t>Wyjaśnienie</w:t>
            </w:r>
          </w:p>
          <w:p w14:paraId="22FA6CF0" w14:textId="728EBDE4" w:rsidR="009F4FE6" w:rsidRPr="001941B0" w:rsidRDefault="003C6D87" w:rsidP="00F33F0D">
            <w:pPr>
              <w:autoSpaceDE w:val="0"/>
              <w:autoSpaceDN w:val="0"/>
              <w:adjustRightInd w:val="0"/>
              <w:spacing w:after="0" w:line="240" w:lineRule="auto"/>
              <w:rPr>
                <w:rFonts w:cstheme="minorHAnsi"/>
                <w:bCs/>
                <w:iCs/>
                <w:sz w:val="20"/>
                <w:szCs w:val="20"/>
              </w:rPr>
            </w:pPr>
            <w:r w:rsidRPr="001941B0">
              <w:rPr>
                <w:rFonts w:cstheme="minorHAnsi"/>
                <w:bCs/>
                <w:iCs/>
                <w:sz w:val="20"/>
                <w:szCs w:val="20"/>
              </w:rPr>
              <w:t>Kwestia ta z</w:t>
            </w:r>
            <w:r w:rsidR="009F4FE6" w:rsidRPr="001941B0">
              <w:rPr>
                <w:rFonts w:cstheme="minorHAnsi"/>
                <w:bCs/>
                <w:iCs/>
                <w:sz w:val="20"/>
                <w:szCs w:val="20"/>
              </w:rPr>
              <w:t>ostał</w:t>
            </w:r>
            <w:r w:rsidRPr="001941B0">
              <w:rPr>
                <w:rFonts w:cstheme="minorHAnsi"/>
                <w:bCs/>
                <w:iCs/>
                <w:sz w:val="20"/>
                <w:szCs w:val="20"/>
              </w:rPr>
              <w:t>a</w:t>
            </w:r>
            <w:r w:rsidR="009F4FE6" w:rsidRPr="001941B0">
              <w:rPr>
                <w:rFonts w:cstheme="minorHAnsi"/>
                <w:bCs/>
                <w:iCs/>
                <w:sz w:val="20"/>
                <w:szCs w:val="20"/>
              </w:rPr>
              <w:t xml:space="preserve"> </w:t>
            </w:r>
            <w:r w:rsidRPr="001941B0">
              <w:rPr>
                <w:rFonts w:cstheme="minorHAnsi"/>
                <w:bCs/>
                <w:iCs/>
                <w:sz w:val="20"/>
                <w:szCs w:val="20"/>
              </w:rPr>
              <w:t>p</w:t>
            </w:r>
            <w:r w:rsidR="008E6F26" w:rsidRPr="001941B0">
              <w:rPr>
                <w:rFonts w:cstheme="minorHAnsi"/>
                <w:bCs/>
                <w:iCs/>
                <w:sz w:val="20"/>
                <w:szCs w:val="20"/>
              </w:rPr>
              <w:t>rzeanalizowan</w:t>
            </w:r>
            <w:r w:rsidRPr="001941B0">
              <w:rPr>
                <w:rFonts w:cstheme="minorHAnsi"/>
                <w:bCs/>
                <w:iCs/>
                <w:sz w:val="20"/>
                <w:szCs w:val="20"/>
              </w:rPr>
              <w:t>a.</w:t>
            </w:r>
            <w:r w:rsidR="008E6F26" w:rsidRPr="001941B0">
              <w:rPr>
                <w:rFonts w:cstheme="minorHAnsi"/>
                <w:bCs/>
                <w:iCs/>
                <w:sz w:val="20"/>
                <w:szCs w:val="20"/>
              </w:rPr>
              <w:t xml:space="preserve"> </w:t>
            </w:r>
          </w:p>
          <w:p w14:paraId="7190CC1B" w14:textId="77777777" w:rsidR="002F6D7C" w:rsidRPr="001941B0" w:rsidRDefault="3C9350B0" w:rsidP="384C731A">
            <w:pPr>
              <w:autoSpaceDE w:val="0"/>
              <w:autoSpaceDN w:val="0"/>
              <w:adjustRightInd w:val="0"/>
              <w:spacing w:after="0" w:line="240" w:lineRule="auto"/>
              <w:rPr>
                <w:sz w:val="20"/>
                <w:szCs w:val="20"/>
              </w:rPr>
            </w:pPr>
            <w:r w:rsidRPr="001941B0">
              <w:rPr>
                <w:sz w:val="20"/>
                <w:szCs w:val="20"/>
              </w:rPr>
              <w:t>Dane po śmierci nie podlegają ochronie</w:t>
            </w:r>
            <w:r w:rsidR="19C43A9C" w:rsidRPr="001941B0">
              <w:rPr>
                <w:sz w:val="20"/>
                <w:szCs w:val="20"/>
              </w:rPr>
              <w:t xml:space="preserve"> RODO</w:t>
            </w:r>
            <w:r w:rsidR="4EA5D45B" w:rsidRPr="001941B0">
              <w:rPr>
                <w:sz w:val="20"/>
                <w:szCs w:val="20"/>
              </w:rPr>
              <w:t>.</w:t>
            </w:r>
          </w:p>
          <w:p w14:paraId="5B27270D" w14:textId="77777777" w:rsidR="006B28AA" w:rsidRPr="001941B0" w:rsidRDefault="006B28AA" w:rsidP="384C731A">
            <w:pPr>
              <w:autoSpaceDE w:val="0"/>
              <w:autoSpaceDN w:val="0"/>
              <w:adjustRightInd w:val="0"/>
              <w:spacing w:after="0" w:line="240" w:lineRule="auto"/>
              <w:rPr>
                <w:sz w:val="20"/>
                <w:szCs w:val="20"/>
              </w:rPr>
            </w:pPr>
          </w:p>
          <w:p w14:paraId="5535BC82" w14:textId="77777777" w:rsidR="006B28AA" w:rsidRPr="001941B0" w:rsidRDefault="006B28AA" w:rsidP="006B28AA">
            <w:pPr>
              <w:autoSpaceDE w:val="0"/>
              <w:autoSpaceDN w:val="0"/>
              <w:adjustRightInd w:val="0"/>
              <w:spacing w:after="0" w:line="240" w:lineRule="auto"/>
              <w:rPr>
                <w:sz w:val="20"/>
                <w:szCs w:val="20"/>
              </w:rPr>
            </w:pPr>
            <w:r w:rsidRPr="001941B0">
              <w:rPr>
                <w:sz w:val="20"/>
                <w:szCs w:val="20"/>
              </w:rPr>
              <w:t xml:space="preserve">Dane dotyczące osób zmarłych nie podlegają ochronie na podstawie rozporządzenia 2016/679, jednak ich przetwarzanie zostało ograniczone wyłącznie do celów analitycznych i statystycznych związanych z </w:t>
            </w:r>
            <w:r w:rsidRPr="001941B0">
              <w:rPr>
                <w:sz w:val="20"/>
                <w:szCs w:val="20"/>
              </w:rPr>
              <w:lastRenderedPageBreak/>
              <w:t>funkcjonowaniem systemu ochrony zdrowia.</w:t>
            </w:r>
          </w:p>
          <w:p w14:paraId="098D9A53" w14:textId="77777777" w:rsidR="006B28AA" w:rsidRPr="001941B0" w:rsidRDefault="006B28AA" w:rsidP="006B28AA">
            <w:pPr>
              <w:autoSpaceDE w:val="0"/>
              <w:autoSpaceDN w:val="0"/>
              <w:adjustRightInd w:val="0"/>
              <w:spacing w:after="0" w:line="240" w:lineRule="auto"/>
              <w:rPr>
                <w:sz w:val="20"/>
                <w:szCs w:val="20"/>
              </w:rPr>
            </w:pPr>
            <w:r w:rsidRPr="001941B0">
              <w:rPr>
                <w:sz w:val="20"/>
                <w:szCs w:val="20"/>
              </w:rPr>
              <w:t>Przechowywanie danych identyfikujących, w tym numeru PESEL, jest niezbędne do zapewnienia spójności analiz długookresowych oraz możliwości powiązania zdarzeń medycznych dotyczących tej samej osoby w czasie. Dane te nie są wykorzystywane w innych celach niż sporządzanie raportów i analiz systemowych.</w:t>
            </w:r>
          </w:p>
          <w:p w14:paraId="1866267D" w14:textId="77777777" w:rsidR="006B28AA" w:rsidRPr="001941B0" w:rsidRDefault="006B28AA" w:rsidP="006B28AA">
            <w:pPr>
              <w:autoSpaceDE w:val="0"/>
              <w:autoSpaceDN w:val="0"/>
              <w:adjustRightInd w:val="0"/>
              <w:spacing w:after="0" w:line="240" w:lineRule="auto"/>
              <w:rPr>
                <w:sz w:val="20"/>
                <w:szCs w:val="20"/>
              </w:rPr>
            </w:pPr>
            <w:r w:rsidRPr="001941B0">
              <w:rPr>
                <w:sz w:val="20"/>
                <w:szCs w:val="20"/>
              </w:rPr>
              <w:t>Jednocześnie dane dotyczące osób zmarłych są zabezpieczane w systemie na takim samym poziomie jak pozostałe dane osobowe przetwarzane w Platformie Usług Inteligentnych, z zastosowaniem odpowiednich środków technicznych i organizacyjnych zapewniających ich poufność, integralność i dostępność.”</w:t>
            </w:r>
          </w:p>
          <w:p w14:paraId="44EB4385" w14:textId="02419287" w:rsidR="006B28AA" w:rsidRPr="001941B0" w:rsidRDefault="006B28AA" w:rsidP="384C731A">
            <w:pPr>
              <w:autoSpaceDE w:val="0"/>
              <w:autoSpaceDN w:val="0"/>
              <w:adjustRightInd w:val="0"/>
              <w:spacing w:after="0" w:line="240" w:lineRule="auto"/>
              <w:rPr>
                <w:sz w:val="20"/>
                <w:szCs w:val="20"/>
              </w:rPr>
            </w:pPr>
          </w:p>
        </w:tc>
      </w:tr>
      <w:tr w:rsidR="00FC7212" w:rsidRPr="001941B0" w14:paraId="544F1B29" w14:textId="77777777" w:rsidTr="7139DBB9">
        <w:tc>
          <w:tcPr>
            <w:tcW w:w="1125" w:type="dxa"/>
            <w:shd w:val="clear" w:color="auto" w:fill="FFFFFF" w:themeFill="background1"/>
          </w:tcPr>
          <w:p w14:paraId="0A817FA5"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50A9EA8" w14:textId="7417CD36" w:rsidR="00F33F0D" w:rsidRPr="001941B0" w:rsidRDefault="00F33F0D" w:rsidP="00F33F0D">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237551F9" w14:textId="6DD4BF58" w:rsidR="00F33F0D" w:rsidRPr="001941B0" w:rsidRDefault="009A2EA4" w:rsidP="00F33F0D">
            <w:pPr>
              <w:autoSpaceDE w:val="0"/>
              <w:autoSpaceDN w:val="0"/>
              <w:adjustRightInd w:val="0"/>
              <w:spacing w:after="0" w:line="240" w:lineRule="auto"/>
              <w:rPr>
                <w:rFonts w:cs="Calibri"/>
                <w:sz w:val="20"/>
                <w:szCs w:val="20"/>
              </w:rPr>
            </w:pPr>
            <w:r w:rsidRPr="001941B0">
              <w:rPr>
                <w:rFonts w:cs="Calibri"/>
                <w:sz w:val="20"/>
                <w:szCs w:val="20"/>
              </w:rPr>
              <w:t xml:space="preserve">Art. 5 </w:t>
            </w:r>
            <w:r w:rsidR="00EC7C0A" w:rsidRPr="001941B0">
              <w:rPr>
                <w:rFonts w:cs="Calibri"/>
                <w:sz w:val="20"/>
                <w:szCs w:val="20"/>
              </w:rPr>
              <w:t>pkt 17</w:t>
            </w:r>
            <w:r w:rsidR="000C3694" w:rsidRPr="001941B0">
              <w:rPr>
                <w:rFonts w:cs="Calibri"/>
                <w:b/>
                <w:bCs/>
                <w:sz w:val="20"/>
                <w:szCs w:val="20"/>
              </w:rPr>
              <w:t xml:space="preserve"> </w:t>
            </w:r>
          </w:p>
        </w:tc>
        <w:tc>
          <w:tcPr>
            <w:tcW w:w="5652" w:type="dxa"/>
            <w:shd w:val="clear" w:color="auto" w:fill="FFFFFF" w:themeFill="background1"/>
          </w:tcPr>
          <w:p w14:paraId="50288A60" w14:textId="77777777" w:rsidR="00F33F0D" w:rsidRPr="001941B0" w:rsidRDefault="00F33F0D" w:rsidP="00F33F0D">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 xml:space="preserve">IV. Uwagi do zmian w ustawie z dnia 28 kwietnia 2011 r. o systemie informacji w ochronie zdrowia. </w:t>
            </w:r>
          </w:p>
          <w:p w14:paraId="66D6871C" w14:textId="050C5886" w:rsidR="00F33F0D" w:rsidRPr="001941B0" w:rsidRDefault="00083A7B" w:rsidP="00F33F0D">
            <w:pPr>
              <w:autoSpaceDE w:val="0"/>
              <w:autoSpaceDN w:val="0"/>
              <w:adjustRightInd w:val="0"/>
              <w:spacing w:after="0" w:line="240" w:lineRule="auto"/>
              <w:rPr>
                <w:rFonts w:eastAsiaTheme="minorEastAsia"/>
                <w:sz w:val="20"/>
                <w:szCs w:val="20"/>
              </w:rPr>
            </w:pPr>
            <w:r w:rsidRPr="001941B0">
              <w:rPr>
                <w:rFonts w:eastAsiaTheme="minorEastAsia"/>
                <w:b/>
                <w:sz w:val="20"/>
                <w:szCs w:val="20"/>
              </w:rPr>
              <w:t>22.</w:t>
            </w:r>
            <w:r w:rsidRPr="001941B0">
              <w:rPr>
                <w:rFonts w:eastAsiaTheme="minorEastAsia"/>
                <w:sz w:val="20"/>
                <w:szCs w:val="20"/>
              </w:rPr>
              <w:t xml:space="preserve"> Uwaga odnosi się analogicznie do </w:t>
            </w:r>
            <w:r w:rsidRPr="001941B0">
              <w:rPr>
                <w:rFonts w:eastAsiaTheme="minorEastAsia"/>
                <w:b/>
                <w:sz w:val="20"/>
                <w:szCs w:val="20"/>
              </w:rPr>
              <w:t>art. 31e ust. 6</w:t>
            </w:r>
            <w:r w:rsidRPr="001941B0">
              <w:rPr>
                <w:rFonts w:eastAsiaTheme="minorEastAsia"/>
                <w:sz w:val="20"/>
                <w:szCs w:val="20"/>
              </w:rPr>
              <w:t xml:space="preserve"> ustawy o systemie informacji w ochronie zdrowia w zakresie </w:t>
            </w:r>
            <w:r w:rsidRPr="001941B0">
              <w:rPr>
                <w:rFonts w:eastAsiaTheme="minorEastAsia"/>
                <w:b/>
                <w:sz w:val="20"/>
                <w:szCs w:val="20"/>
              </w:rPr>
              <w:t>Hurtowni Danych e-Zdrowia</w:t>
            </w:r>
            <w:r w:rsidRPr="001941B0">
              <w:rPr>
                <w:rFonts w:eastAsiaTheme="minorEastAsia"/>
                <w:sz w:val="20"/>
                <w:szCs w:val="20"/>
              </w:rPr>
              <w:t>.</w:t>
            </w:r>
          </w:p>
        </w:tc>
        <w:tc>
          <w:tcPr>
            <w:tcW w:w="2855" w:type="dxa"/>
            <w:shd w:val="clear" w:color="auto" w:fill="FFFFFF" w:themeFill="background1"/>
          </w:tcPr>
          <w:p w14:paraId="76F14107" w14:textId="77777777" w:rsidR="003C6D87" w:rsidRPr="001941B0" w:rsidRDefault="003C6D87" w:rsidP="003C6D87">
            <w:pPr>
              <w:autoSpaceDE w:val="0"/>
              <w:autoSpaceDN w:val="0"/>
              <w:adjustRightInd w:val="0"/>
              <w:spacing w:after="0" w:line="240" w:lineRule="auto"/>
              <w:rPr>
                <w:rFonts w:cstheme="minorHAnsi"/>
                <w:b/>
                <w:iCs/>
                <w:sz w:val="20"/>
                <w:szCs w:val="20"/>
              </w:rPr>
            </w:pPr>
            <w:r w:rsidRPr="001941B0">
              <w:rPr>
                <w:rFonts w:cstheme="minorHAnsi"/>
                <w:b/>
                <w:iCs/>
                <w:sz w:val="20"/>
                <w:szCs w:val="20"/>
              </w:rPr>
              <w:t>Wyjaśnienie</w:t>
            </w:r>
          </w:p>
          <w:p w14:paraId="4F0A2C37" w14:textId="1FAAB98B" w:rsidR="00F33F0D" w:rsidRPr="001941B0" w:rsidRDefault="007D066A" w:rsidP="003C6D87">
            <w:pPr>
              <w:autoSpaceDE w:val="0"/>
              <w:autoSpaceDN w:val="0"/>
              <w:adjustRightInd w:val="0"/>
              <w:spacing w:after="0" w:line="240" w:lineRule="auto"/>
              <w:rPr>
                <w:rFonts w:cstheme="minorHAnsi"/>
                <w:b/>
                <w:iCs/>
                <w:sz w:val="20"/>
                <w:szCs w:val="20"/>
              </w:rPr>
            </w:pPr>
            <w:r w:rsidRPr="001941B0">
              <w:rPr>
                <w:rFonts w:cstheme="minorHAnsi"/>
                <w:bCs/>
                <w:iCs/>
                <w:sz w:val="20"/>
                <w:szCs w:val="20"/>
              </w:rPr>
              <w:t>Jw.</w:t>
            </w:r>
          </w:p>
        </w:tc>
      </w:tr>
      <w:tr w:rsidR="00FC7212" w:rsidRPr="001941B0" w14:paraId="7C2A3016" w14:textId="77777777" w:rsidTr="7139DBB9">
        <w:tc>
          <w:tcPr>
            <w:tcW w:w="1125" w:type="dxa"/>
            <w:shd w:val="clear" w:color="auto" w:fill="FFFFFF" w:themeFill="background1"/>
          </w:tcPr>
          <w:p w14:paraId="5B8C5147"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116F56C" w14:textId="5608EFED" w:rsidR="00F33F0D" w:rsidRPr="001941B0" w:rsidRDefault="0022186F"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1FC2FC04" w14:textId="77777777" w:rsidR="00F33F0D" w:rsidRPr="001941B0" w:rsidRDefault="00EC7C0A"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58D207E6" w14:textId="134DF43B" w:rsidR="00F33F0D" w:rsidRPr="001941B0" w:rsidRDefault="00F33F0D"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FE94458" w14:textId="77777777" w:rsidR="0022186F" w:rsidRPr="001941B0" w:rsidRDefault="0022186F" w:rsidP="0022186F">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 xml:space="preserve">IV. Uwagi do zmian w ustawie z dnia 28 kwietnia 2011 r. o systemie informacji w ochronie zdrowia. </w:t>
            </w:r>
          </w:p>
          <w:p w14:paraId="6270691F" w14:textId="1384AD29" w:rsidR="00D25978" w:rsidRPr="001941B0" w:rsidRDefault="00B25D14" w:rsidP="00D25978">
            <w:pPr>
              <w:autoSpaceDE w:val="0"/>
              <w:autoSpaceDN w:val="0"/>
              <w:adjustRightInd w:val="0"/>
              <w:spacing w:after="0" w:line="240" w:lineRule="auto"/>
              <w:rPr>
                <w:rFonts w:eastAsiaTheme="minorEastAsia"/>
                <w:sz w:val="20"/>
                <w:szCs w:val="20"/>
              </w:rPr>
            </w:pPr>
            <w:r w:rsidRPr="001941B0">
              <w:rPr>
                <w:rFonts w:eastAsiaTheme="minorEastAsia"/>
                <w:b/>
                <w:bCs/>
                <w:sz w:val="20"/>
                <w:szCs w:val="20"/>
              </w:rPr>
              <w:lastRenderedPageBreak/>
              <w:t>23.</w:t>
            </w:r>
            <w:r w:rsidRPr="001941B0">
              <w:rPr>
                <w:rFonts w:eastAsiaTheme="minorEastAsia"/>
                <w:sz w:val="20"/>
                <w:szCs w:val="20"/>
              </w:rPr>
              <w:t xml:space="preserve"> </w:t>
            </w:r>
            <w:r w:rsidR="00D25978" w:rsidRPr="001941B0">
              <w:rPr>
                <w:rFonts w:eastAsiaTheme="minorEastAsia"/>
                <w:sz w:val="20"/>
                <w:szCs w:val="20"/>
              </w:rPr>
              <w:t xml:space="preserve">Zgodnie z </w:t>
            </w:r>
            <w:r w:rsidR="00D25978" w:rsidRPr="001941B0">
              <w:rPr>
                <w:rFonts w:eastAsiaTheme="minorEastAsia"/>
                <w:b/>
                <w:sz w:val="20"/>
                <w:szCs w:val="20"/>
              </w:rPr>
              <w:t>art. 31e ust. 1</w:t>
            </w:r>
            <w:r w:rsidR="00D25978" w:rsidRPr="001941B0">
              <w:rPr>
                <w:rFonts w:eastAsiaTheme="minorEastAsia"/>
                <w:sz w:val="20"/>
                <w:szCs w:val="20"/>
              </w:rPr>
              <w:t xml:space="preserve"> ustawy o systemie informacji w ochronie zdrowia, zostanie utworzona </w:t>
            </w:r>
            <w:r w:rsidR="00D25978" w:rsidRPr="001941B0">
              <w:rPr>
                <w:rFonts w:eastAsiaTheme="minorEastAsia"/>
                <w:b/>
                <w:sz w:val="20"/>
                <w:szCs w:val="20"/>
              </w:rPr>
              <w:t>Hurtownia Danych e-Zdrowia</w:t>
            </w:r>
            <w:r w:rsidR="00D25978" w:rsidRPr="001941B0">
              <w:rPr>
                <w:rFonts w:eastAsiaTheme="minorEastAsia"/>
                <w:sz w:val="20"/>
                <w:szCs w:val="20"/>
              </w:rPr>
              <w:t xml:space="preserve">. Zgodnie z tym przepisem: „Hurtownia Danych e-Zdrowia stanowi zorganizowany, spójny i interpretacyjny zbiór danych pochodzących z </w:t>
            </w:r>
            <w:r w:rsidR="00D25978" w:rsidRPr="001941B0">
              <w:rPr>
                <w:rFonts w:eastAsiaTheme="minorEastAsia"/>
                <w:sz w:val="20"/>
                <w:szCs w:val="20"/>
                <w:u w:val="single"/>
              </w:rPr>
              <w:t>baz danych, systemów administracji publicznej, rejestrów oraz narzędzi</w:t>
            </w:r>
            <w:r w:rsidR="00D25978" w:rsidRPr="001941B0">
              <w:rPr>
                <w:rFonts w:eastAsiaTheme="minorEastAsia"/>
                <w:sz w:val="20"/>
                <w:szCs w:val="20"/>
              </w:rPr>
              <w:t xml:space="preserve"> </w:t>
            </w:r>
            <w:r w:rsidR="00D25978" w:rsidRPr="001941B0">
              <w:rPr>
                <w:rFonts w:eastAsiaTheme="minorEastAsia"/>
                <w:sz w:val="20"/>
                <w:szCs w:val="20"/>
                <w:u w:val="single"/>
              </w:rPr>
              <w:t>analitycznych</w:t>
            </w:r>
            <w:r w:rsidR="00D25978" w:rsidRPr="001941B0">
              <w:rPr>
                <w:rFonts w:eastAsiaTheme="minorEastAsia"/>
                <w:sz w:val="20"/>
                <w:szCs w:val="20"/>
              </w:rPr>
              <w:t xml:space="preserve"> umożliwiający ich przetwarzanie w sposób zapewniający ich integralność, bezpieczeństwo oraz dostępność.”. </w:t>
            </w:r>
          </w:p>
          <w:p w14:paraId="0D7DC30D" w14:textId="77777777" w:rsidR="00D25978" w:rsidRPr="001941B0" w:rsidRDefault="00D25978" w:rsidP="00D25978">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 wyniku utworzenia Hurtowni Danych e-Zdrowia dojdzie do </w:t>
            </w:r>
            <w:r w:rsidRPr="001941B0">
              <w:rPr>
                <w:rFonts w:eastAsiaTheme="minorEastAsia"/>
                <w:b/>
                <w:sz w:val="20"/>
                <w:szCs w:val="20"/>
              </w:rPr>
              <w:t>łączenia danych osobowych z poszczególnych rejestrów publicznych</w:t>
            </w:r>
            <w:r w:rsidRPr="001941B0">
              <w:rPr>
                <w:rFonts w:eastAsiaTheme="minorEastAsia"/>
                <w:sz w:val="20"/>
                <w:szCs w:val="20"/>
              </w:rPr>
              <w:t>, które nie zostały wymienione w projektowanym przepisie. Przepis ten:</w:t>
            </w:r>
          </w:p>
          <w:p w14:paraId="0D6123DB" w14:textId="110C33A4" w:rsidR="00D25978" w:rsidRPr="001941B0" w:rsidRDefault="00D25978">
            <w:pPr>
              <w:numPr>
                <w:ilvl w:val="0"/>
                <w:numId w:val="42"/>
              </w:numPr>
              <w:autoSpaceDE w:val="0"/>
              <w:autoSpaceDN w:val="0"/>
              <w:adjustRightInd w:val="0"/>
              <w:spacing w:after="0" w:line="240" w:lineRule="auto"/>
              <w:rPr>
                <w:rFonts w:eastAsiaTheme="minorEastAsia"/>
                <w:sz w:val="20"/>
                <w:szCs w:val="20"/>
              </w:rPr>
            </w:pPr>
            <w:r w:rsidRPr="001941B0">
              <w:rPr>
                <w:rFonts w:eastAsiaTheme="minorEastAsia"/>
                <w:sz w:val="20"/>
                <w:szCs w:val="20"/>
              </w:rPr>
              <w:t>nie stanowi właściwej podstawy prawnej dla funkcjonowania Hurtowni Danych e-Zdrowia – nie odpowiada wytycznym wynikającym z motywu 31 rozporządzenia 2016/679</w:t>
            </w:r>
            <w:r w:rsidRPr="001941B0">
              <w:rPr>
                <w:rFonts w:eastAsiaTheme="minorEastAsia"/>
                <w:sz w:val="20"/>
                <w:szCs w:val="20"/>
                <w:vertAlign w:val="superscript"/>
              </w:rPr>
              <w:footnoteReference w:id="20"/>
            </w:r>
            <w:r w:rsidRPr="001941B0">
              <w:rPr>
                <w:rFonts w:eastAsiaTheme="minorEastAsia"/>
                <w:sz w:val="20"/>
                <w:szCs w:val="20"/>
              </w:rPr>
              <w:t xml:space="preserve"> oraz nie uwzględnia orzecznictwa europejskiego, tj. wyroku Trybunału Sprawiedliwości z 1 października 2015 r. w sprawie C-201/14 Smaranda Bara i in. przeciwko Presedintele Casei Nationale de Asigurări de Sănătate i in.;</w:t>
            </w:r>
          </w:p>
          <w:p w14:paraId="62A93151" w14:textId="77777777" w:rsidR="00D25978" w:rsidRPr="001941B0" w:rsidRDefault="00D25978" w:rsidP="00D25978">
            <w:pPr>
              <w:numPr>
                <w:ilvl w:val="0"/>
                <w:numId w:val="42"/>
              </w:numPr>
              <w:autoSpaceDE w:val="0"/>
              <w:autoSpaceDN w:val="0"/>
              <w:adjustRightInd w:val="0"/>
              <w:spacing w:after="0" w:line="240" w:lineRule="auto"/>
              <w:rPr>
                <w:rFonts w:eastAsiaTheme="minorEastAsia"/>
                <w:sz w:val="20"/>
                <w:szCs w:val="20"/>
              </w:rPr>
            </w:pPr>
            <w:r w:rsidRPr="001941B0">
              <w:rPr>
                <w:rFonts w:eastAsiaTheme="minorEastAsia"/>
                <w:sz w:val="20"/>
                <w:szCs w:val="20"/>
              </w:rPr>
              <w:t>powinien wymieniać wszystkie rejestry publiczne, z których miałyby pochodzić dane zasilające Hurtownie Danych e-Zdrowia, tryb pozyskiwania danych,</w:t>
            </w:r>
          </w:p>
          <w:p w14:paraId="0FD5E970" w14:textId="77777777" w:rsidR="00D25978" w:rsidRPr="001941B0" w:rsidRDefault="00D25978" w:rsidP="00D25978">
            <w:pPr>
              <w:numPr>
                <w:ilvl w:val="0"/>
                <w:numId w:val="42"/>
              </w:numPr>
              <w:autoSpaceDE w:val="0"/>
              <w:autoSpaceDN w:val="0"/>
              <w:adjustRightInd w:val="0"/>
              <w:spacing w:after="0" w:line="240" w:lineRule="auto"/>
              <w:rPr>
                <w:rFonts w:eastAsiaTheme="minorEastAsia"/>
                <w:sz w:val="20"/>
                <w:szCs w:val="20"/>
              </w:rPr>
            </w:pPr>
            <w:r w:rsidRPr="001941B0">
              <w:rPr>
                <w:rFonts w:eastAsiaTheme="minorEastAsia"/>
                <w:sz w:val="20"/>
                <w:szCs w:val="20"/>
              </w:rPr>
              <w:t>określać zasady dostępu do danych Hurtowni Danych e-Zdrowia.</w:t>
            </w:r>
          </w:p>
          <w:p w14:paraId="1C692E94" w14:textId="77777777" w:rsidR="00D25978" w:rsidRPr="001941B0" w:rsidRDefault="00D25978" w:rsidP="00D25978">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 xml:space="preserve">Konieczne jest również wprowadzenie zmian wynikowych (tzw. „lustrzanych”) </w:t>
            </w:r>
            <w:r w:rsidRPr="001941B0">
              <w:rPr>
                <w:rFonts w:eastAsiaTheme="minorEastAsia"/>
                <w:b/>
                <w:sz w:val="20"/>
                <w:szCs w:val="20"/>
              </w:rPr>
              <w:t>w poszczególnych ustawach regulujących funkcjonowanie rejestrów</w:t>
            </w:r>
            <w:r w:rsidRPr="001941B0">
              <w:rPr>
                <w:rFonts w:eastAsiaTheme="minorEastAsia"/>
                <w:sz w:val="20"/>
                <w:szCs w:val="20"/>
              </w:rPr>
              <w:t xml:space="preserve">, gdyż przekazywanie ich do Hurtowni Danych e-Zdrowia zmienia cel przetwarzania, dla którego zostały utworzone. </w:t>
            </w:r>
          </w:p>
          <w:p w14:paraId="0A2CA2C9" w14:textId="77777777" w:rsidR="00D25978" w:rsidRPr="001941B0" w:rsidRDefault="00D25978" w:rsidP="00D25978">
            <w:pPr>
              <w:autoSpaceDE w:val="0"/>
              <w:autoSpaceDN w:val="0"/>
              <w:adjustRightInd w:val="0"/>
              <w:spacing w:after="0" w:line="240" w:lineRule="auto"/>
              <w:rPr>
                <w:rFonts w:eastAsiaTheme="minorEastAsia"/>
                <w:sz w:val="20"/>
                <w:szCs w:val="20"/>
              </w:rPr>
            </w:pPr>
            <w:r w:rsidRPr="001941B0">
              <w:rPr>
                <w:rFonts w:eastAsiaTheme="minorEastAsia"/>
                <w:sz w:val="20"/>
                <w:szCs w:val="20"/>
              </w:rPr>
              <w:t>Kwestie to powinny zostać poddane wnikliwej analizie w ocenie skutków dla ochrony danych pod kątem:</w:t>
            </w:r>
          </w:p>
          <w:p w14:paraId="6D6DA347" w14:textId="77777777" w:rsidR="00D25978" w:rsidRPr="001941B0" w:rsidRDefault="00D25978" w:rsidP="00D25978">
            <w:pPr>
              <w:numPr>
                <w:ilvl w:val="0"/>
                <w:numId w:val="42"/>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ryzyk związanych z przetwarzaniem danych w wyniku łączenia rejestrów, </w:t>
            </w:r>
          </w:p>
          <w:p w14:paraId="221DC5B8" w14:textId="77777777" w:rsidR="00D25978" w:rsidRPr="001941B0" w:rsidRDefault="00D25978" w:rsidP="00D25978">
            <w:pPr>
              <w:numPr>
                <w:ilvl w:val="0"/>
                <w:numId w:val="42"/>
              </w:numPr>
              <w:autoSpaceDE w:val="0"/>
              <w:autoSpaceDN w:val="0"/>
              <w:adjustRightInd w:val="0"/>
              <w:spacing w:after="0" w:line="240" w:lineRule="auto"/>
              <w:rPr>
                <w:rFonts w:eastAsiaTheme="minorEastAsia"/>
                <w:sz w:val="20"/>
                <w:szCs w:val="20"/>
              </w:rPr>
            </w:pPr>
            <w:r w:rsidRPr="001941B0">
              <w:rPr>
                <w:rFonts w:eastAsiaTheme="minorEastAsia"/>
                <w:sz w:val="20"/>
                <w:szCs w:val="20"/>
              </w:rPr>
              <w:t>wpływu takich rozwiązań na cyberbezpieczeństwo zasobów obejmujących tak ogromną ilość danych, w tym danych wrażliwych,</w:t>
            </w:r>
          </w:p>
          <w:p w14:paraId="6B36DF1C" w14:textId="77777777" w:rsidR="00D25978" w:rsidRPr="001941B0" w:rsidRDefault="00D25978" w:rsidP="00D25978">
            <w:pPr>
              <w:numPr>
                <w:ilvl w:val="0"/>
                <w:numId w:val="42"/>
              </w:num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wpływu takich rozwiązań na prawa osób, jak i bezpieczeństwo państwa. </w:t>
            </w:r>
          </w:p>
          <w:p w14:paraId="0C85F054" w14:textId="1E2EB50A" w:rsidR="00F33F0D" w:rsidRPr="001941B0" w:rsidRDefault="00D25978"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Materia ta powinna być </w:t>
            </w:r>
            <w:r w:rsidRPr="001941B0">
              <w:rPr>
                <w:rFonts w:eastAsiaTheme="minorEastAsia"/>
                <w:b/>
                <w:sz w:val="20"/>
                <w:szCs w:val="20"/>
              </w:rPr>
              <w:t>rzetelnie odzwierciedlona w projektowanych przepisach</w:t>
            </w:r>
            <w:r w:rsidRPr="001941B0">
              <w:rPr>
                <w:rFonts w:eastAsiaTheme="minorEastAsia"/>
                <w:sz w:val="20"/>
                <w:szCs w:val="20"/>
              </w:rPr>
              <w:t>.</w:t>
            </w:r>
            <w:r w:rsidRPr="001941B0">
              <w:rPr>
                <w:rFonts w:eastAsiaTheme="minorEastAsia"/>
                <w:b/>
                <w:sz w:val="20"/>
                <w:szCs w:val="20"/>
              </w:rPr>
              <w:t xml:space="preserve"> Szczególnie istotne jest uwzględnienie przez prawodawcę</w:t>
            </w:r>
            <w:r w:rsidRPr="001941B0">
              <w:rPr>
                <w:rFonts w:eastAsiaTheme="minorEastAsia"/>
                <w:sz w:val="20"/>
                <w:szCs w:val="20"/>
              </w:rPr>
              <w:t xml:space="preserve"> </w:t>
            </w:r>
            <w:r w:rsidRPr="001941B0">
              <w:rPr>
                <w:rFonts w:eastAsiaTheme="minorEastAsia"/>
                <w:b/>
                <w:sz w:val="20"/>
                <w:szCs w:val="20"/>
              </w:rPr>
              <w:t>warunków bezpieczeństwa przetwarzania danych oraz środków ochrony praw, wolności i prawnie uzasadnionych interesów podmiotów danych.</w:t>
            </w:r>
          </w:p>
        </w:tc>
        <w:tc>
          <w:tcPr>
            <w:tcW w:w="2855" w:type="dxa"/>
            <w:shd w:val="clear" w:color="auto" w:fill="FFFFFF" w:themeFill="background1"/>
          </w:tcPr>
          <w:p w14:paraId="6AA99DA4" w14:textId="61A6B3A6" w:rsidR="00F33F0D" w:rsidRPr="001941B0" w:rsidRDefault="004D21DF" w:rsidP="006E0CB2">
            <w:pPr>
              <w:autoSpaceDE w:val="0"/>
              <w:autoSpaceDN w:val="0"/>
              <w:adjustRightInd w:val="0"/>
              <w:spacing w:after="0" w:line="240" w:lineRule="auto"/>
              <w:rPr>
                <w:rFonts w:cstheme="minorHAnsi"/>
                <w:b/>
                <w:iCs/>
                <w:sz w:val="20"/>
                <w:szCs w:val="20"/>
              </w:rPr>
            </w:pPr>
            <w:r w:rsidRPr="001941B0">
              <w:rPr>
                <w:rFonts w:cstheme="minorHAnsi"/>
                <w:b/>
                <w:iCs/>
                <w:sz w:val="20"/>
                <w:szCs w:val="20"/>
              </w:rPr>
              <w:lastRenderedPageBreak/>
              <w:t>Wyjaśnienie</w:t>
            </w:r>
          </w:p>
          <w:p w14:paraId="09617DF7" w14:textId="6875EE21" w:rsidR="0031637B" w:rsidRPr="001941B0" w:rsidRDefault="00377932" w:rsidP="006E0CB2">
            <w:pPr>
              <w:autoSpaceDE w:val="0"/>
              <w:autoSpaceDN w:val="0"/>
              <w:adjustRightInd w:val="0"/>
              <w:spacing w:after="0" w:line="240" w:lineRule="auto"/>
              <w:rPr>
                <w:rFonts w:cstheme="minorHAnsi"/>
                <w:bCs/>
                <w:iCs/>
                <w:sz w:val="20"/>
                <w:szCs w:val="20"/>
              </w:rPr>
            </w:pPr>
            <w:r w:rsidRPr="001941B0">
              <w:rPr>
                <w:rFonts w:cstheme="minorHAnsi"/>
                <w:bCs/>
                <w:iCs/>
                <w:sz w:val="20"/>
                <w:szCs w:val="20"/>
              </w:rPr>
              <w:t xml:space="preserve">Przeanalizowano, </w:t>
            </w:r>
            <w:r w:rsidRPr="001941B0">
              <w:rPr>
                <w:rFonts w:cstheme="minorHAnsi"/>
                <w:sz w:val="20"/>
                <w:szCs w:val="20"/>
              </w:rPr>
              <w:t>uwzględniono</w:t>
            </w:r>
            <w:r w:rsidR="003C6D87" w:rsidRPr="001941B0">
              <w:rPr>
                <w:rFonts w:cstheme="minorHAnsi"/>
                <w:bCs/>
                <w:iCs/>
                <w:sz w:val="20"/>
                <w:szCs w:val="20"/>
              </w:rPr>
              <w:t xml:space="preserve"> warunki </w:t>
            </w:r>
            <w:r w:rsidR="003C6D87" w:rsidRPr="001941B0">
              <w:rPr>
                <w:rFonts w:cstheme="minorHAnsi"/>
                <w:bCs/>
                <w:iCs/>
                <w:sz w:val="20"/>
                <w:szCs w:val="20"/>
              </w:rPr>
              <w:lastRenderedPageBreak/>
              <w:t>bezpieczeństwa przetwarzania danych oraz środków ochrony praw, wolności i prawnie uzasadnionych interesów podmiotów danych</w:t>
            </w:r>
            <w:r w:rsidR="00E2593B" w:rsidRPr="001941B0">
              <w:rPr>
                <w:rFonts w:cstheme="minorHAnsi"/>
                <w:bCs/>
                <w:iCs/>
                <w:sz w:val="20"/>
                <w:szCs w:val="20"/>
              </w:rPr>
              <w:t>.</w:t>
            </w:r>
          </w:p>
        </w:tc>
      </w:tr>
      <w:tr w:rsidR="00FC7212" w:rsidRPr="001941B0" w14:paraId="0FACF798" w14:textId="77777777" w:rsidTr="7139DBB9">
        <w:tc>
          <w:tcPr>
            <w:tcW w:w="1125" w:type="dxa"/>
            <w:shd w:val="clear" w:color="auto" w:fill="FFFFFF" w:themeFill="background1"/>
          </w:tcPr>
          <w:p w14:paraId="113AA406"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1B323D8" w14:textId="22EFB75E" w:rsidR="00F33F0D" w:rsidRPr="001941B0" w:rsidRDefault="0022186F"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489965BA" w14:textId="77777777" w:rsidR="00F33F0D" w:rsidRPr="001941B0" w:rsidRDefault="006D66F3"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7CCD9DCF" w14:textId="77777777" w:rsidR="00D409EB" w:rsidRPr="001941B0" w:rsidRDefault="00D409EB" w:rsidP="006E0CB2">
            <w:pPr>
              <w:autoSpaceDE w:val="0"/>
              <w:autoSpaceDN w:val="0"/>
              <w:adjustRightInd w:val="0"/>
              <w:spacing w:after="0" w:line="240" w:lineRule="auto"/>
              <w:rPr>
                <w:rFonts w:cs="Calibri"/>
                <w:sz w:val="20"/>
                <w:szCs w:val="20"/>
              </w:rPr>
            </w:pPr>
          </w:p>
          <w:p w14:paraId="2072C8A6" w14:textId="33499035" w:rsidR="00F33F0D" w:rsidRPr="001941B0" w:rsidRDefault="00F33F0D"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615A4AFE" w14:textId="77777777" w:rsidR="0022186F" w:rsidRPr="001941B0" w:rsidRDefault="0022186F" w:rsidP="0022186F">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 xml:space="preserve">IV. Uwagi do zmian w ustawie z dnia 28 kwietnia 2011 r. o systemie informacji w ochronie zdrowia. </w:t>
            </w:r>
          </w:p>
          <w:p w14:paraId="22B614E8" w14:textId="520B5065" w:rsidR="006579CF" w:rsidRPr="001941B0" w:rsidRDefault="006579CF" w:rsidP="006579CF">
            <w:pPr>
              <w:autoSpaceDE w:val="0"/>
              <w:autoSpaceDN w:val="0"/>
              <w:adjustRightInd w:val="0"/>
              <w:spacing w:after="0" w:line="240" w:lineRule="auto"/>
              <w:rPr>
                <w:rFonts w:eastAsiaTheme="minorEastAsia"/>
                <w:sz w:val="20"/>
                <w:szCs w:val="20"/>
              </w:rPr>
            </w:pPr>
            <w:r w:rsidRPr="001941B0">
              <w:rPr>
                <w:rFonts w:eastAsiaTheme="minorEastAsia"/>
                <w:b/>
                <w:bCs/>
                <w:sz w:val="20"/>
                <w:szCs w:val="20"/>
              </w:rPr>
              <w:t>24.</w:t>
            </w:r>
            <w:r w:rsidRPr="001941B0">
              <w:rPr>
                <w:rFonts w:eastAsiaTheme="minorEastAsia"/>
                <w:sz w:val="20"/>
                <w:szCs w:val="20"/>
              </w:rPr>
              <w:t xml:space="preserve"> Zgodnie z </w:t>
            </w:r>
            <w:r w:rsidRPr="001941B0">
              <w:rPr>
                <w:rFonts w:eastAsiaTheme="minorEastAsia"/>
                <w:b/>
                <w:sz w:val="20"/>
                <w:szCs w:val="20"/>
              </w:rPr>
              <w:t>art. 31e ust. 5</w:t>
            </w:r>
            <w:r w:rsidRPr="001941B0">
              <w:rPr>
                <w:rFonts w:eastAsiaTheme="minorEastAsia"/>
                <w:sz w:val="20"/>
                <w:szCs w:val="20"/>
              </w:rPr>
              <w:t xml:space="preserve"> ustawy o systemie informacji w ochronie zdrowia: „Dane przetwarzane w Hurtowni Danych e-Zdrowia podlegają pseudonimizacji, polegającej na zastąpieniu identyfikatorów osoby fizycznej, w szczególności numeru PESEL lub innego identyfikatora, stałym pseudonimem umożliwiającym powiązanie zdarzeń medycznych tej samej osoby fizycznej przez cały okres ich przetwarzania w Hurtowni Danych e-Zdrowia. Informacje umożliwiające powiązanie pseudonimu z osobą fizyczną przechowuje się wyłącznie w odrębnych częściach zbiorów, odseparowanych od bazy analitycznej Hurtowni Danych e-Zdrowia, z zastosowaniem </w:t>
            </w:r>
            <w:r w:rsidRPr="001941B0">
              <w:rPr>
                <w:rFonts w:eastAsiaTheme="minorEastAsia"/>
                <w:sz w:val="20"/>
                <w:szCs w:val="20"/>
                <w:u w:val="single"/>
              </w:rPr>
              <w:t>szczególnych środków</w:t>
            </w:r>
            <w:r w:rsidRPr="001941B0">
              <w:rPr>
                <w:rFonts w:eastAsiaTheme="minorEastAsia"/>
                <w:sz w:val="20"/>
                <w:szCs w:val="20"/>
              </w:rPr>
              <w:t xml:space="preserve"> </w:t>
            </w:r>
            <w:r w:rsidRPr="001941B0">
              <w:rPr>
                <w:rFonts w:eastAsiaTheme="minorEastAsia"/>
                <w:sz w:val="20"/>
                <w:szCs w:val="20"/>
                <w:u w:val="single"/>
              </w:rPr>
              <w:t>bezpieczeństwa</w:t>
            </w:r>
            <w:r w:rsidRPr="001941B0">
              <w:rPr>
                <w:rFonts w:eastAsiaTheme="minorEastAsia"/>
                <w:sz w:val="20"/>
                <w:szCs w:val="20"/>
              </w:rPr>
              <w:t xml:space="preserve">. Dane mogą podlegać agregacji, </w:t>
            </w:r>
            <w:r w:rsidRPr="001941B0">
              <w:rPr>
                <w:rFonts w:eastAsiaTheme="minorEastAsia"/>
                <w:sz w:val="20"/>
                <w:szCs w:val="20"/>
                <w:u w:val="single"/>
              </w:rPr>
              <w:t>a przetwarzanie danych umożliwiających</w:t>
            </w:r>
            <w:r w:rsidRPr="001941B0">
              <w:rPr>
                <w:rFonts w:eastAsiaTheme="minorEastAsia"/>
                <w:sz w:val="20"/>
                <w:szCs w:val="20"/>
              </w:rPr>
              <w:t xml:space="preserve"> </w:t>
            </w:r>
            <w:r w:rsidRPr="001941B0">
              <w:rPr>
                <w:rFonts w:eastAsiaTheme="minorEastAsia"/>
                <w:sz w:val="20"/>
                <w:szCs w:val="20"/>
                <w:u w:val="single"/>
              </w:rPr>
              <w:t xml:space="preserve">bezpośrednią </w:t>
            </w:r>
            <w:r w:rsidRPr="001941B0">
              <w:rPr>
                <w:rFonts w:eastAsiaTheme="minorEastAsia"/>
                <w:sz w:val="20"/>
                <w:szCs w:val="20"/>
                <w:u w:val="single"/>
              </w:rPr>
              <w:lastRenderedPageBreak/>
              <w:t>identyfikację osoby fizycznej jest dopuszczalne wyłącznie w zakresie</w:t>
            </w:r>
            <w:r w:rsidRPr="001941B0">
              <w:rPr>
                <w:rFonts w:eastAsiaTheme="minorEastAsia"/>
                <w:sz w:val="20"/>
                <w:szCs w:val="20"/>
              </w:rPr>
              <w:t xml:space="preserve"> </w:t>
            </w:r>
            <w:r w:rsidRPr="001941B0">
              <w:rPr>
                <w:rFonts w:eastAsiaTheme="minorEastAsia"/>
                <w:sz w:val="20"/>
                <w:szCs w:val="20"/>
                <w:u w:val="single"/>
              </w:rPr>
              <w:t>niezbędnym do realizacji celów, o których mowa w ust. 4</w:t>
            </w:r>
            <w:r w:rsidRPr="001941B0">
              <w:rPr>
                <w:rFonts w:eastAsiaTheme="minorEastAsia"/>
                <w:sz w:val="20"/>
                <w:szCs w:val="20"/>
              </w:rPr>
              <w:t xml:space="preserve">.”. </w:t>
            </w:r>
          </w:p>
          <w:p w14:paraId="3E4CC041" w14:textId="77777777" w:rsidR="006579CF" w:rsidRPr="001941B0" w:rsidRDefault="006579CF" w:rsidP="006579CF">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Projektowany przepis albo akt wykonawczy do ustawy powinien określać </w:t>
            </w:r>
            <w:r w:rsidRPr="001941B0">
              <w:rPr>
                <w:rFonts w:eastAsiaTheme="minorEastAsia"/>
                <w:b/>
                <w:sz w:val="20"/>
                <w:szCs w:val="20"/>
              </w:rPr>
              <w:t>jakie szczególne środki bezpieczeństwa mają być zastosowane do przetwarzania identyfikujących osoby fizyczne osobowych</w:t>
            </w:r>
            <w:r w:rsidRPr="001941B0">
              <w:rPr>
                <w:rFonts w:eastAsiaTheme="minorEastAsia"/>
                <w:sz w:val="20"/>
                <w:szCs w:val="20"/>
              </w:rPr>
              <w:t xml:space="preserve">. </w:t>
            </w:r>
          </w:p>
          <w:p w14:paraId="21784B64" w14:textId="77777777" w:rsidR="006579CF" w:rsidRPr="001941B0" w:rsidRDefault="006579CF" w:rsidP="006579CF">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Zgodnie z zasadą ograniczenia celu </w:t>
            </w:r>
            <w:r w:rsidRPr="001941B0">
              <w:rPr>
                <w:rFonts w:eastAsiaTheme="minorEastAsia"/>
                <w:b/>
                <w:sz w:val="20"/>
                <w:szCs w:val="20"/>
              </w:rPr>
              <w:t>przetwarzanie zawsze może być prowadzone wyłącznie dla prawnie usprawiedliwionego celu</w:t>
            </w:r>
            <w:r w:rsidRPr="001941B0">
              <w:rPr>
                <w:rFonts w:eastAsiaTheme="minorEastAsia"/>
                <w:sz w:val="20"/>
                <w:szCs w:val="20"/>
              </w:rPr>
              <w:t xml:space="preserve">. Powstaje więc pytanie jaką wartość normatywną niesie sformułowanie: „przetwarzanie danych umożliwiających bezpośrednią identyfikację osoby fizycznej jest dopuszczalne wyłącznie w zakresie niezbędnym do realizacji celów, o których mowa w ust. 4”. W szczególności określenie „w zakresie niezbędnym” ma charakter nieostry, wręcz blankietowy. Doprecyzowanie tej regulacji jest konieczne dla zachowania zasady zgodności z prawem, rzetelności i przejrzystości, ograniczenia celu, minimalizacji danych, poufności i integralności oraz rozliczalności. </w:t>
            </w:r>
          </w:p>
          <w:p w14:paraId="6E883E1A" w14:textId="20A5153C" w:rsidR="00F33F0D" w:rsidRPr="001941B0" w:rsidRDefault="006579CF"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Wyjaśnienia i doprecyzowania wymaga również na jakich warunkach będzie przeprowadzana agregacja danych, o której mowa w projektowanym przepisie.</w:t>
            </w:r>
          </w:p>
        </w:tc>
        <w:tc>
          <w:tcPr>
            <w:tcW w:w="2855" w:type="dxa"/>
            <w:shd w:val="clear" w:color="auto" w:fill="FFFFFF" w:themeFill="background1"/>
          </w:tcPr>
          <w:p w14:paraId="3F751E24" w14:textId="41B505B4" w:rsidR="00F33F0D" w:rsidRPr="001941B0" w:rsidRDefault="007E0F26" w:rsidP="006E0CB2">
            <w:pPr>
              <w:autoSpaceDE w:val="0"/>
              <w:autoSpaceDN w:val="0"/>
              <w:adjustRightInd w:val="0"/>
              <w:spacing w:after="0" w:line="240" w:lineRule="auto"/>
              <w:rPr>
                <w:rFonts w:cstheme="minorHAnsi"/>
                <w:b/>
                <w:iCs/>
                <w:sz w:val="20"/>
                <w:szCs w:val="20"/>
              </w:rPr>
            </w:pPr>
            <w:r w:rsidRPr="001941B0">
              <w:rPr>
                <w:rFonts w:cstheme="minorHAnsi"/>
                <w:b/>
                <w:iCs/>
                <w:sz w:val="20"/>
                <w:szCs w:val="20"/>
              </w:rPr>
              <w:lastRenderedPageBreak/>
              <w:t>Wyjaśnieni</w:t>
            </w:r>
            <w:r w:rsidR="00841E58" w:rsidRPr="001941B0">
              <w:rPr>
                <w:rFonts w:cstheme="minorHAnsi"/>
                <w:b/>
                <w:iCs/>
                <w:sz w:val="20"/>
                <w:szCs w:val="20"/>
              </w:rPr>
              <w:t>e</w:t>
            </w:r>
          </w:p>
          <w:p w14:paraId="2FB8C0AB" w14:textId="739CD3BF" w:rsidR="007E0F26" w:rsidRPr="001941B0" w:rsidRDefault="007E0F26" w:rsidP="006E0CB2">
            <w:pPr>
              <w:autoSpaceDE w:val="0"/>
              <w:autoSpaceDN w:val="0"/>
              <w:adjustRightInd w:val="0"/>
              <w:spacing w:after="0" w:line="240" w:lineRule="auto"/>
              <w:rPr>
                <w:rFonts w:cstheme="minorHAnsi"/>
                <w:bCs/>
                <w:iCs/>
                <w:sz w:val="20"/>
                <w:szCs w:val="20"/>
              </w:rPr>
            </w:pPr>
            <w:r w:rsidRPr="001941B0">
              <w:rPr>
                <w:rFonts w:cstheme="minorHAnsi"/>
                <w:bCs/>
                <w:iCs/>
                <w:sz w:val="20"/>
                <w:szCs w:val="20"/>
              </w:rPr>
              <w:t xml:space="preserve">Agregacja zależy od celu </w:t>
            </w:r>
            <w:r w:rsidR="00F84ACD" w:rsidRPr="001941B0">
              <w:rPr>
                <w:rFonts w:cstheme="minorHAnsi"/>
                <w:bCs/>
                <w:iCs/>
                <w:sz w:val="20"/>
                <w:szCs w:val="20"/>
              </w:rPr>
              <w:t>i zakresu danych – są to kwestie techniczne, nie mając</w:t>
            </w:r>
            <w:r w:rsidR="007D066A" w:rsidRPr="001941B0">
              <w:rPr>
                <w:rFonts w:cstheme="minorHAnsi"/>
                <w:bCs/>
                <w:iCs/>
                <w:sz w:val="20"/>
                <w:szCs w:val="20"/>
              </w:rPr>
              <w:t>e</w:t>
            </w:r>
            <w:r w:rsidR="00F84ACD" w:rsidRPr="001941B0">
              <w:rPr>
                <w:rFonts w:cstheme="minorHAnsi"/>
                <w:bCs/>
                <w:iCs/>
                <w:sz w:val="20"/>
                <w:szCs w:val="20"/>
              </w:rPr>
              <w:t xml:space="preserve"> wartości normatywnej</w:t>
            </w:r>
            <w:r w:rsidR="00841E58" w:rsidRPr="001941B0">
              <w:rPr>
                <w:rFonts w:cstheme="minorHAnsi"/>
                <w:bCs/>
                <w:iCs/>
                <w:sz w:val="20"/>
                <w:szCs w:val="20"/>
              </w:rPr>
              <w:t>.</w:t>
            </w:r>
          </w:p>
          <w:p w14:paraId="7BC35551" w14:textId="21809CEE" w:rsidR="00F03339" w:rsidRPr="001941B0" w:rsidRDefault="00F03339" w:rsidP="006E0CB2">
            <w:pPr>
              <w:autoSpaceDE w:val="0"/>
              <w:autoSpaceDN w:val="0"/>
              <w:adjustRightInd w:val="0"/>
              <w:spacing w:after="0" w:line="240" w:lineRule="auto"/>
              <w:rPr>
                <w:rFonts w:cstheme="minorHAnsi"/>
                <w:bCs/>
                <w:iCs/>
                <w:sz w:val="20"/>
                <w:szCs w:val="20"/>
              </w:rPr>
            </w:pPr>
            <w:r w:rsidRPr="001941B0">
              <w:rPr>
                <w:rFonts w:cstheme="minorHAnsi"/>
                <w:bCs/>
                <w:iCs/>
                <w:sz w:val="20"/>
                <w:szCs w:val="20"/>
              </w:rPr>
              <w:t>Zostaną zastosowane odpowiednie, proporcjonalnie i adekwatn</w:t>
            </w:r>
            <w:r w:rsidR="00841E58" w:rsidRPr="001941B0">
              <w:rPr>
                <w:rFonts w:cstheme="minorHAnsi"/>
                <w:bCs/>
                <w:iCs/>
                <w:sz w:val="20"/>
                <w:szCs w:val="20"/>
              </w:rPr>
              <w:t>e środki bezpieczeństwa.</w:t>
            </w:r>
          </w:p>
        </w:tc>
      </w:tr>
      <w:tr w:rsidR="00FC7212" w:rsidRPr="001941B0" w14:paraId="15A2699F" w14:textId="77777777" w:rsidTr="7139DBB9">
        <w:tc>
          <w:tcPr>
            <w:tcW w:w="1125" w:type="dxa"/>
            <w:shd w:val="clear" w:color="auto" w:fill="FFFFFF" w:themeFill="background1"/>
          </w:tcPr>
          <w:p w14:paraId="46BF5557" w14:textId="77777777" w:rsidR="00F33F0D" w:rsidRPr="001941B0" w:rsidRDefault="00F33F0D"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539CC8A" w14:textId="055D6D45" w:rsidR="00F33F0D" w:rsidRPr="001941B0" w:rsidRDefault="0022186F" w:rsidP="006E0CB2">
            <w:pPr>
              <w:autoSpaceDE w:val="0"/>
              <w:autoSpaceDN w:val="0"/>
              <w:adjustRightInd w:val="0"/>
              <w:spacing w:after="0" w:line="240" w:lineRule="auto"/>
              <w:rPr>
                <w:rFonts w:cs="Calibri"/>
                <w:bCs/>
                <w:sz w:val="20"/>
                <w:szCs w:val="20"/>
              </w:rPr>
            </w:pPr>
            <w:r w:rsidRPr="001941B0">
              <w:rPr>
                <w:rFonts w:cs="Calibri"/>
                <w:bCs/>
                <w:sz w:val="20"/>
                <w:szCs w:val="20"/>
              </w:rPr>
              <w:t>Prezes Urzędu Ochrony Danych Osobowych</w:t>
            </w:r>
          </w:p>
        </w:tc>
        <w:tc>
          <w:tcPr>
            <w:tcW w:w="1949" w:type="dxa"/>
            <w:shd w:val="clear" w:color="auto" w:fill="FFFFFF" w:themeFill="background1"/>
          </w:tcPr>
          <w:p w14:paraId="2D2B552A" w14:textId="77777777" w:rsidR="00F33F0D" w:rsidRPr="001941B0" w:rsidRDefault="006D66F3"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23BAB343" w14:textId="77777777" w:rsidR="003B14DB" w:rsidRPr="001941B0" w:rsidRDefault="003B14DB" w:rsidP="006E0CB2">
            <w:pPr>
              <w:autoSpaceDE w:val="0"/>
              <w:autoSpaceDN w:val="0"/>
              <w:adjustRightInd w:val="0"/>
              <w:spacing w:after="0" w:line="240" w:lineRule="auto"/>
              <w:rPr>
                <w:rFonts w:cs="Calibri"/>
                <w:sz w:val="20"/>
                <w:szCs w:val="20"/>
              </w:rPr>
            </w:pPr>
          </w:p>
          <w:p w14:paraId="05688D1F" w14:textId="390D9011" w:rsidR="00F33F0D" w:rsidRPr="001941B0" w:rsidRDefault="00F33F0D"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6C35B23A" w14:textId="77777777" w:rsidR="0022186F" w:rsidRPr="001941B0" w:rsidRDefault="0022186F" w:rsidP="0022186F">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 xml:space="preserve">IV. Uwagi do zmian w ustawie z dnia 28 kwietnia 2011 r. o systemie informacji w ochronie zdrowia. </w:t>
            </w:r>
          </w:p>
          <w:p w14:paraId="5EE1F156" w14:textId="77777777" w:rsidR="00F973B6" w:rsidRPr="001941B0" w:rsidRDefault="00F973B6" w:rsidP="00F973B6">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Zgodnie z </w:t>
            </w:r>
            <w:r w:rsidRPr="001941B0">
              <w:rPr>
                <w:rFonts w:eastAsiaTheme="minorEastAsia"/>
                <w:b/>
                <w:sz w:val="20"/>
                <w:szCs w:val="20"/>
              </w:rPr>
              <w:t>art. 31e ust. 7</w:t>
            </w:r>
            <w:r w:rsidRPr="001941B0">
              <w:rPr>
                <w:rFonts w:eastAsiaTheme="minorEastAsia"/>
                <w:sz w:val="20"/>
                <w:szCs w:val="20"/>
              </w:rPr>
              <w:t xml:space="preserve"> i </w:t>
            </w:r>
            <w:r w:rsidRPr="001941B0">
              <w:rPr>
                <w:rFonts w:eastAsiaTheme="minorEastAsia"/>
                <w:b/>
                <w:sz w:val="20"/>
                <w:szCs w:val="20"/>
              </w:rPr>
              <w:t xml:space="preserve">8 </w:t>
            </w:r>
            <w:r w:rsidRPr="001941B0">
              <w:rPr>
                <w:rFonts w:eastAsiaTheme="minorEastAsia"/>
                <w:sz w:val="20"/>
                <w:szCs w:val="20"/>
              </w:rPr>
              <w:t xml:space="preserve">ustawy o systemie informacji w ochronie zdrowia: „7. Administratorem danych przetwarzanych w Hurtowni Danych e-Zdrowia jest minister właściwy do spraw zdrowia. 8. Podmiotem odpowiedzialnym za prawidłowe funkcjonowanie Hurtowni Danych e-Zdrowia jest jednostka podległa ministrowi właściwemu do spraw zdrowia, właściwa w zakresie systemów informacyjnych ochrony zdrowia.”. </w:t>
            </w:r>
          </w:p>
          <w:p w14:paraId="1CF4625C" w14:textId="77777777" w:rsidR="00F973B6" w:rsidRPr="001941B0" w:rsidRDefault="00F973B6" w:rsidP="00F973B6">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Projektowany przepis </w:t>
            </w:r>
            <w:r w:rsidRPr="001941B0">
              <w:rPr>
                <w:rFonts w:eastAsiaTheme="minorEastAsia"/>
                <w:b/>
                <w:sz w:val="20"/>
                <w:szCs w:val="20"/>
              </w:rPr>
              <w:t>powiela wielokrotnie sygnalizowane wątpliwości organu nadzorczego dotyczące ukształtowania statusu tzw. „administratora systemu”, gdyż takie pojęcie nie wynika z przepisów rozporządzenia 2016/679</w:t>
            </w:r>
            <w:r w:rsidRPr="001941B0">
              <w:rPr>
                <w:rFonts w:eastAsiaTheme="minorEastAsia"/>
                <w:sz w:val="20"/>
                <w:szCs w:val="20"/>
              </w:rPr>
              <w:t xml:space="preserve">. </w:t>
            </w:r>
            <w:r w:rsidRPr="001941B0">
              <w:rPr>
                <w:rFonts w:eastAsiaTheme="minorEastAsia"/>
                <w:b/>
                <w:sz w:val="20"/>
                <w:szCs w:val="20"/>
              </w:rPr>
              <w:t xml:space="preserve">Tak znaczące – systemowe zmiany – projektowane w ramach </w:t>
            </w:r>
            <w:r w:rsidRPr="001941B0">
              <w:rPr>
                <w:rFonts w:eastAsiaTheme="minorEastAsia"/>
                <w:b/>
                <w:sz w:val="20"/>
                <w:szCs w:val="20"/>
              </w:rPr>
              <w:lastRenderedPageBreak/>
              <w:t>inicjowanego opiniowanym projektem procesu legislacyjnego są bardzo dobrą okazją do uporządkowania tej materii, problemu sygnalizowanego resortowi zdrowia przez organ nadzorczy od wielu lat</w:t>
            </w:r>
            <w:r w:rsidRPr="001941B0">
              <w:rPr>
                <w:rFonts w:eastAsiaTheme="minorEastAsia"/>
                <w:sz w:val="20"/>
                <w:szCs w:val="20"/>
                <w:vertAlign w:val="superscript"/>
              </w:rPr>
              <w:footnoteReference w:id="21"/>
            </w:r>
            <w:r w:rsidRPr="001941B0">
              <w:rPr>
                <w:rFonts w:eastAsiaTheme="minorEastAsia"/>
                <w:sz w:val="20"/>
                <w:szCs w:val="20"/>
              </w:rPr>
              <w:t xml:space="preserve">. </w:t>
            </w:r>
          </w:p>
          <w:p w14:paraId="666E2F66" w14:textId="77777777" w:rsidR="00F973B6" w:rsidRPr="001941B0" w:rsidRDefault="00F973B6" w:rsidP="00F973B6">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Problem ten wymaga pogłębionej analizy i zmian adekwatnych do wypływających z niej wniosków. </w:t>
            </w:r>
          </w:p>
          <w:p w14:paraId="2C1D3CF0" w14:textId="77777777" w:rsidR="00F973B6" w:rsidRPr="001941B0" w:rsidRDefault="00F973B6" w:rsidP="00F973B6">
            <w:pPr>
              <w:autoSpaceDE w:val="0"/>
              <w:autoSpaceDN w:val="0"/>
              <w:adjustRightInd w:val="0"/>
              <w:spacing w:after="0" w:line="240" w:lineRule="auto"/>
              <w:rPr>
                <w:rFonts w:eastAsiaTheme="minorEastAsia"/>
                <w:sz w:val="20"/>
                <w:szCs w:val="20"/>
              </w:rPr>
            </w:pPr>
            <w:r w:rsidRPr="001941B0">
              <w:rPr>
                <w:rFonts w:eastAsiaTheme="minorEastAsia"/>
                <w:sz w:val="20"/>
                <w:szCs w:val="20"/>
              </w:rPr>
              <w:t>Kierunkowo jedynie wypada wskazać, że zadania faktycznie realizowane przez jednostkę podległą ministrowi właściwemu do spraw zdrowia, właściwą w zakresie systemów informacyjnych ochrony zdrowia, wskazują na nią jako na administratora lub współadministratora</w:t>
            </w:r>
            <w:r w:rsidRPr="001941B0">
              <w:rPr>
                <w:rFonts w:eastAsiaTheme="minorEastAsia"/>
                <w:sz w:val="20"/>
                <w:szCs w:val="20"/>
                <w:vertAlign w:val="superscript"/>
              </w:rPr>
              <w:footnoteReference w:id="22"/>
            </w:r>
            <w:r w:rsidRPr="001941B0">
              <w:rPr>
                <w:rFonts w:eastAsiaTheme="minorEastAsia"/>
                <w:sz w:val="20"/>
                <w:szCs w:val="20"/>
              </w:rPr>
              <w:t xml:space="preserve">. Zatem zadania i cele przetwarzania danych tej jednostki powinny być rozpisane precyzyjniej w przepisach prawa. Nie wiadomo bowiem w jakim zakresie – w odniesieniu do jakich obowiązków administratora takich, jak np. prawidłowość i aktualności danych – Minister Zdrowia jest administratorem, a w jakim jednostka podległa ministrowi właściwemu do spraw zdrowia, właściwa w zakresie systemów informacyjnych ochrony zdrowia. Rola administratora (współadministratora) powinna wynikać z przypisanych mu zadań i celów, które realizuje w sposób autonomiczny, ma to kluczowe znaczenie w stosowaniu przepisów rozporządzenia 2016/679, ponieważ to administrator jest adresatem szeregu obowiązków wynikających z tego aktu prawnego. Jak wskazała Europejska Rada Ochrony Danych w przyjęte w dniu 7 lipca 2021 r. Wytycznych 7/2020 w sprawie pojęć administratora i podmiotu przetwarzającego na gruncie RODO, pojęcie administratora jest pojęciem funkcjonalnym i ma na celu </w:t>
            </w:r>
            <w:r w:rsidRPr="001941B0">
              <w:rPr>
                <w:rFonts w:eastAsiaTheme="minorEastAsia"/>
                <w:sz w:val="20"/>
                <w:szCs w:val="20"/>
              </w:rPr>
              <w:lastRenderedPageBreak/>
              <w:t xml:space="preserve">podział odpowiedzialności zgodnie z rzeczywistymi rolami w procesach przetwarzania danych. Oznacza to, że status prawny podmiotu jako „administratora” musi zasadniczo być określany przez jego rzeczywistą działalność w określonej sytuacji – w tym przypadku przepisami prawa. </w:t>
            </w:r>
          </w:p>
          <w:p w14:paraId="16FAA093" w14:textId="69DE471A" w:rsidR="00F33F0D" w:rsidRPr="001941B0" w:rsidRDefault="00F973B6"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Jeśli natomiast jednostka podległa ministrowi właściwemu do spraw zdrowia, właściwa w zakresie systemów informacyjnych ochrony zdrowia, miałaby być podmiotem przetwarzającym w rozumieniu art. 28 ust. 1 rozporządzenia 2016/679</w:t>
            </w:r>
            <w:r w:rsidR="00EA438A" w:rsidRPr="001941B0">
              <w:rPr>
                <w:rStyle w:val="Odwoanieprzypisudolnego"/>
                <w:rFonts w:eastAsiaTheme="minorEastAsia"/>
                <w:sz w:val="20"/>
                <w:szCs w:val="20"/>
              </w:rPr>
              <w:footnoteReference w:id="23"/>
            </w:r>
            <w:r w:rsidRPr="001941B0">
              <w:rPr>
                <w:rFonts w:eastAsiaTheme="minorEastAsia"/>
                <w:sz w:val="20"/>
                <w:szCs w:val="20"/>
              </w:rPr>
              <w:t xml:space="preserve"> to jej zadania – wyczerpująco i stosownie do art. 28 ust. 3 rozporządzenia 2016/679 – powinny być ukształtowane mocą instrumentu prawnego, bo nie jest ona w istocie podmiotem komercyjnym, ale realizującym zadanie publiczne, zatem w takiej sytuacji muszą być zachowane warunki, o których mowa w art. 28 rozporządzenia 2016/679, dla precyzyjnego określenia powierzenia i zgodnego z prawem przetwarzania danych osobowych. </w:t>
            </w:r>
          </w:p>
        </w:tc>
        <w:tc>
          <w:tcPr>
            <w:tcW w:w="2855" w:type="dxa"/>
            <w:shd w:val="clear" w:color="auto" w:fill="FFFFFF" w:themeFill="background1"/>
          </w:tcPr>
          <w:p w14:paraId="5B4BA4D9" w14:textId="4B6A60B6" w:rsidR="00377932" w:rsidRPr="001941B0" w:rsidRDefault="00377932" w:rsidP="00377932">
            <w:pPr>
              <w:autoSpaceDE w:val="0"/>
              <w:autoSpaceDN w:val="0"/>
              <w:adjustRightInd w:val="0"/>
              <w:spacing w:after="0" w:line="240" w:lineRule="auto"/>
              <w:rPr>
                <w:b/>
                <w:sz w:val="20"/>
                <w:szCs w:val="20"/>
              </w:rPr>
            </w:pPr>
            <w:r w:rsidRPr="001941B0">
              <w:rPr>
                <w:b/>
                <w:sz w:val="20"/>
                <w:szCs w:val="20"/>
              </w:rPr>
              <w:lastRenderedPageBreak/>
              <w:t>Wyjaśnienie</w:t>
            </w:r>
          </w:p>
          <w:p w14:paraId="7FFFF8BD" w14:textId="3F1AD574" w:rsidR="00377932" w:rsidRPr="001941B0" w:rsidRDefault="00377932" w:rsidP="00377932">
            <w:pPr>
              <w:autoSpaceDE w:val="0"/>
              <w:autoSpaceDN w:val="0"/>
              <w:adjustRightInd w:val="0"/>
              <w:spacing w:after="0" w:line="240" w:lineRule="auto"/>
              <w:rPr>
                <w:sz w:val="20"/>
                <w:szCs w:val="20"/>
              </w:rPr>
            </w:pPr>
            <w:r w:rsidRPr="001941B0">
              <w:rPr>
                <w:sz w:val="20"/>
                <w:szCs w:val="20"/>
              </w:rPr>
              <w:t xml:space="preserve">Zawsze jest </w:t>
            </w:r>
            <w:r w:rsidR="007D066A" w:rsidRPr="001941B0">
              <w:rPr>
                <w:sz w:val="20"/>
                <w:szCs w:val="20"/>
              </w:rPr>
              <w:t xml:space="preserve">to </w:t>
            </w:r>
            <w:r w:rsidRPr="001941B0">
              <w:rPr>
                <w:sz w:val="20"/>
                <w:szCs w:val="20"/>
              </w:rPr>
              <w:t xml:space="preserve">administrator systemu – czasami jest to ten sam podmiot co administrator danych. </w:t>
            </w:r>
          </w:p>
          <w:p w14:paraId="19F657AF" w14:textId="71828325" w:rsidR="00377932" w:rsidRPr="001941B0" w:rsidRDefault="00377932" w:rsidP="00377932">
            <w:pPr>
              <w:autoSpaceDE w:val="0"/>
              <w:autoSpaceDN w:val="0"/>
              <w:adjustRightInd w:val="0"/>
              <w:spacing w:after="0" w:line="240" w:lineRule="auto"/>
              <w:rPr>
                <w:sz w:val="20"/>
                <w:szCs w:val="20"/>
              </w:rPr>
            </w:pPr>
          </w:p>
          <w:p w14:paraId="27EEF7BA" w14:textId="21CD804B" w:rsidR="00426CD4" w:rsidRPr="001941B0" w:rsidRDefault="00426CD4" w:rsidP="00377932">
            <w:pPr>
              <w:autoSpaceDE w:val="0"/>
              <w:autoSpaceDN w:val="0"/>
              <w:adjustRightInd w:val="0"/>
              <w:spacing w:after="0" w:line="240" w:lineRule="auto"/>
              <w:rPr>
                <w:sz w:val="20"/>
                <w:szCs w:val="20"/>
              </w:rPr>
            </w:pPr>
          </w:p>
        </w:tc>
      </w:tr>
      <w:tr w:rsidR="00FC7212" w:rsidRPr="001941B0" w14:paraId="0297E327" w14:textId="77777777" w:rsidTr="7139DBB9">
        <w:tc>
          <w:tcPr>
            <w:tcW w:w="1125" w:type="dxa"/>
            <w:shd w:val="clear" w:color="auto" w:fill="FFFFFF" w:themeFill="background1"/>
          </w:tcPr>
          <w:p w14:paraId="435D2EAD" w14:textId="77777777" w:rsidR="00EB47CA" w:rsidRPr="001941B0" w:rsidRDefault="00EB47C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8D48DB1" w14:textId="15BF460B" w:rsidR="00EB47CA" w:rsidRPr="001941B0" w:rsidRDefault="00EB47CA" w:rsidP="006E0CB2">
            <w:pPr>
              <w:autoSpaceDE w:val="0"/>
              <w:autoSpaceDN w:val="0"/>
              <w:adjustRightInd w:val="0"/>
              <w:spacing w:after="0" w:line="240" w:lineRule="auto"/>
              <w:rPr>
                <w:rFonts w:cs="Calibri"/>
                <w:bCs/>
                <w:sz w:val="20"/>
                <w:szCs w:val="20"/>
              </w:rPr>
            </w:pPr>
            <w:r w:rsidRPr="001941B0">
              <w:rPr>
                <w:rFonts w:cs="Calibri"/>
                <w:bCs/>
                <w:sz w:val="20"/>
                <w:szCs w:val="20"/>
              </w:rPr>
              <w:t>Lotnicze Pogotowie Ratunkowe</w:t>
            </w:r>
          </w:p>
        </w:tc>
        <w:tc>
          <w:tcPr>
            <w:tcW w:w="1949" w:type="dxa"/>
            <w:shd w:val="clear" w:color="auto" w:fill="FFFFFF" w:themeFill="background1"/>
          </w:tcPr>
          <w:p w14:paraId="3D4CC041" w14:textId="1C9D5DE9" w:rsidR="00EB47CA" w:rsidRPr="001941B0" w:rsidRDefault="00875756" w:rsidP="006E0CB2">
            <w:pPr>
              <w:autoSpaceDE w:val="0"/>
              <w:autoSpaceDN w:val="0"/>
              <w:adjustRightInd w:val="0"/>
              <w:spacing w:after="0" w:line="240" w:lineRule="auto"/>
              <w:rPr>
                <w:rFonts w:cs="Calibri"/>
                <w:sz w:val="20"/>
                <w:szCs w:val="20"/>
              </w:rPr>
            </w:pPr>
            <w:r w:rsidRPr="001941B0">
              <w:rPr>
                <w:rFonts w:cs="Calibri"/>
                <w:sz w:val="20"/>
                <w:szCs w:val="20"/>
              </w:rPr>
              <w:t>art. 5 pkt 2 lit. b</w:t>
            </w:r>
          </w:p>
        </w:tc>
        <w:tc>
          <w:tcPr>
            <w:tcW w:w="5652" w:type="dxa"/>
            <w:shd w:val="clear" w:color="auto" w:fill="FFFFFF" w:themeFill="background1"/>
          </w:tcPr>
          <w:p w14:paraId="5B0611C8" w14:textId="77777777" w:rsidR="00875756" w:rsidRPr="001941B0" w:rsidRDefault="00875756"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Treść komentowanego przepisu</w:t>
            </w:r>
          </w:p>
          <w:p w14:paraId="4DC89942" w14:textId="77777777" w:rsidR="00533AF2" w:rsidRPr="001941B0" w:rsidRDefault="00533AF2" w:rsidP="00533AF2">
            <w:pPr>
              <w:widowControl w:val="0"/>
              <w:autoSpaceDE w:val="0"/>
              <w:autoSpaceDN w:val="0"/>
              <w:adjustRightInd w:val="0"/>
              <w:spacing w:after="0" w:line="240" w:lineRule="auto"/>
              <w:jc w:val="both"/>
              <w:rPr>
                <w:sz w:val="20"/>
                <w:szCs w:val="20"/>
              </w:rPr>
            </w:pPr>
            <w:r w:rsidRPr="001941B0">
              <w:rPr>
                <w:sz w:val="20"/>
                <w:szCs w:val="20"/>
              </w:rPr>
              <w:t>ust. 3a i 3b otrzymują brzmienie:</w:t>
            </w:r>
          </w:p>
          <w:p w14:paraId="3A734F7F" w14:textId="6BAD5EC4" w:rsidR="00EB47CA" w:rsidRPr="001941B0" w:rsidRDefault="00533AF2" w:rsidP="00533AF2">
            <w:pPr>
              <w:widowControl w:val="0"/>
              <w:autoSpaceDE w:val="0"/>
              <w:autoSpaceDN w:val="0"/>
              <w:adjustRightInd w:val="0"/>
              <w:spacing w:after="0" w:line="240" w:lineRule="auto"/>
              <w:jc w:val="both"/>
              <w:rPr>
                <w:sz w:val="20"/>
                <w:szCs w:val="20"/>
              </w:rPr>
            </w:pPr>
            <w:r w:rsidRPr="001941B0">
              <w:rPr>
                <w:sz w:val="20"/>
                <w:szCs w:val="20"/>
              </w:rPr>
              <w:t>„3a. Dane zawarte w systemach, o których mowa w ust. 1 pkt 1–1b, pkt 2 lit. a, e, g–j, l–m oraz pkt 3, nie podlegają udostępnianiu na zasadach określonych w ustawie z dnia 6 września 2001 r. o dostępie do informacji publicznej (Dz. U. z 2022 r. poz. 902) oraz w ustawie z dnia 11 sierpnia 2021 r. o otwartych danych oraz ponownym wykorzystywaniu informacji sektora publicznego (Dz. U. z 2023 r. poz.1524) (…)”.</w:t>
            </w:r>
          </w:p>
          <w:p w14:paraId="21A44362" w14:textId="77777777" w:rsidR="00533AF2" w:rsidRPr="001941B0" w:rsidRDefault="00533AF2"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Treść uwagi</w:t>
            </w:r>
          </w:p>
          <w:p w14:paraId="4478483E" w14:textId="0C94FA5A" w:rsidR="00533AF2" w:rsidRPr="001941B0" w:rsidRDefault="00064751" w:rsidP="006E0CB2">
            <w:pPr>
              <w:autoSpaceDE w:val="0"/>
              <w:autoSpaceDN w:val="0"/>
              <w:adjustRightInd w:val="0"/>
              <w:spacing w:after="0" w:line="240" w:lineRule="auto"/>
              <w:rPr>
                <w:sz w:val="20"/>
                <w:szCs w:val="20"/>
              </w:rPr>
            </w:pPr>
            <w:r w:rsidRPr="001941B0">
              <w:rPr>
                <w:rFonts w:eastAsiaTheme="minorEastAsia"/>
                <w:bCs/>
                <w:sz w:val="20"/>
                <w:szCs w:val="20"/>
              </w:rPr>
              <w:t xml:space="preserve">Do rozważenia - w odniesieniu do propozycji zmiany art. 5 ust. 3a ustawy o SIOZ, zgodnie z którą dane w określonych systemach wskazanych w ustawie nie podlegają udostępnieniu w trybie UDIP, ustawy o otwartych danych i </w:t>
            </w:r>
            <w:r w:rsidRPr="001941B0">
              <w:rPr>
                <w:rFonts w:eastAsiaTheme="minorEastAsia"/>
                <w:bCs/>
                <w:sz w:val="20"/>
                <w:szCs w:val="20"/>
              </w:rPr>
              <w:lastRenderedPageBreak/>
              <w:t>ponownym wykorzystywaniu informacji sektora publicznego, czy analogicznego rozwiązania nie powinno się przewidzieć w odniesieniu do SWD PRM. Aktualnie, udostępniamy w trybie UDIP zanonimizowane dane statystyczne z SWD PRM, natomiast uzasadnienie propozycji ograniczenia udostępniania danych z systemów SIOZ w nowelizacji uzasadnione jest zapewnienie wysokich standardów przetwarzania danych osobowych, w tym szczególnej kategorii danych, dotyczących stanu zdrowia. Analogiczne kategorie danych przetwarzane są w SWD PRM. Tym samym, należałoby rozszerzyć powyższe wyłączenie również na SWD PRM, celem zapewnienia tych standardów również w obrębie tego systemu. Tytułem uzupełnienia można dodać, że ustawa PRM określa własne zasady udostępniania danych z SWD PRM, enumeratywnie wskazanym w niej podmiotom, posiadających dostęp do danych w związku z realizowanymi zadaniami publicznymi.</w:t>
            </w:r>
          </w:p>
        </w:tc>
        <w:tc>
          <w:tcPr>
            <w:tcW w:w="2855" w:type="dxa"/>
            <w:shd w:val="clear" w:color="auto" w:fill="FFFFFF" w:themeFill="background1"/>
          </w:tcPr>
          <w:p w14:paraId="35B0490B" w14:textId="4FE1F100" w:rsidR="00DB7AF3" w:rsidRPr="001941B0" w:rsidRDefault="00E75DC0" w:rsidP="006E0CB2">
            <w:pPr>
              <w:autoSpaceDE w:val="0"/>
              <w:autoSpaceDN w:val="0"/>
              <w:adjustRightInd w:val="0"/>
              <w:spacing w:after="0" w:line="240" w:lineRule="auto"/>
              <w:rPr>
                <w:b/>
                <w:sz w:val="20"/>
                <w:szCs w:val="20"/>
              </w:rPr>
            </w:pPr>
            <w:r w:rsidRPr="001941B0">
              <w:rPr>
                <w:b/>
                <w:sz w:val="20"/>
                <w:szCs w:val="20"/>
              </w:rPr>
              <w:lastRenderedPageBreak/>
              <w:t>U</w:t>
            </w:r>
            <w:r w:rsidR="00BD0566" w:rsidRPr="001941B0">
              <w:rPr>
                <w:b/>
                <w:sz w:val="20"/>
                <w:szCs w:val="20"/>
              </w:rPr>
              <w:t>waga nieuwzględniona</w:t>
            </w:r>
          </w:p>
          <w:p w14:paraId="55784911" w14:textId="5C3E49A8" w:rsidR="00EB47CA" w:rsidRPr="001941B0" w:rsidRDefault="00DB7AF3" w:rsidP="006E0CB2">
            <w:pPr>
              <w:autoSpaceDE w:val="0"/>
              <w:autoSpaceDN w:val="0"/>
              <w:adjustRightInd w:val="0"/>
              <w:spacing w:after="0" w:line="240" w:lineRule="auto"/>
              <w:rPr>
                <w:sz w:val="20"/>
                <w:szCs w:val="20"/>
              </w:rPr>
            </w:pPr>
            <w:r w:rsidRPr="001941B0">
              <w:rPr>
                <w:sz w:val="20"/>
                <w:szCs w:val="20"/>
              </w:rPr>
              <w:t>P</w:t>
            </w:r>
            <w:r w:rsidR="00BD0566" w:rsidRPr="001941B0">
              <w:rPr>
                <w:sz w:val="20"/>
                <w:szCs w:val="20"/>
              </w:rPr>
              <w:t xml:space="preserve">oza zakresem </w:t>
            </w:r>
            <w:r w:rsidR="00AB33ED" w:rsidRPr="001941B0">
              <w:rPr>
                <w:sz w:val="20"/>
                <w:szCs w:val="20"/>
              </w:rPr>
              <w:t>pr</w:t>
            </w:r>
            <w:r w:rsidR="00683121" w:rsidRPr="001941B0">
              <w:rPr>
                <w:sz w:val="20"/>
                <w:szCs w:val="20"/>
              </w:rPr>
              <w:t xml:space="preserve">ojektowanej </w:t>
            </w:r>
            <w:r w:rsidR="00BD0566" w:rsidRPr="001941B0">
              <w:rPr>
                <w:sz w:val="20"/>
                <w:szCs w:val="20"/>
              </w:rPr>
              <w:t>regulacji</w:t>
            </w:r>
            <w:r w:rsidRPr="001941B0">
              <w:rPr>
                <w:sz w:val="20"/>
                <w:szCs w:val="20"/>
              </w:rPr>
              <w:t xml:space="preserve">, </w:t>
            </w:r>
            <w:r w:rsidR="00BD0566" w:rsidRPr="001941B0">
              <w:rPr>
                <w:sz w:val="20"/>
                <w:szCs w:val="20"/>
              </w:rPr>
              <w:t xml:space="preserve">wymaga </w:t>
            </w:r>
            <w:r w:rsidR="006E1812" w:rsidRPr="001941B0">
              <w:rPr>
                <w:sz w:val="20"/>
                <w:szCs w:val="20"/>
              </w:rPr>
              <w:t>zmiany</w:t>
            </w:r>
            <w:r w:rsidR="00BD0566" w:rsidRPr="001941B0">
              <w:rPr>
                <w:sz w:val="20"/>
                <w:szCs w:val="20"/>
              </w:rPr>
              <w:t xml:space="preserve"> </w:t>
            </w:r>
            <w:r w:rsidR="00AB33ED" w:rsidRPr="001941B0">
              <w:t xml:space="preserve">w </w:t>
            </w:r>
            <w:r w:rsidR="00F80A17" w:rsidRPr="001941B0">
              <w:rPr>
                <w:sz w:val="20"/>
                <w:szCs w:val="20"/>
              </w:rPr>
              <w:t>Państwowym Ratownictwie Medycznym,</w:t>
            </w:r>
            <w:r w:rsidR="00BD0566" w:rsidRPr="001941B0">
              <w:rPr>
                <w:sz w:val="20"/>
                <w:szCs w:val="20"/>
              </w:rPr>
              <w:t xml:space="preserve"> przekażemy do </w:t>
            </w:r>
            <w:r w:rsidR="00132423" w:rsidRPr="001941B0">
              <w:rPr>
                <w:sz w:val="20"/>
                <w:szCs w:val="20"/>
              </w:rPr>
              <w:t xml:space="preserve">departamentu merytorycznego. </w:t>
            </w:r>
          </w:p>
        </w:tc>
      </w:tr>
      <w:tr w:rsidR="00FC7212" w:rsidRPr="001941B0" w14:paraId="2264B016" w14:textId="77777777" w:rsidTr="7139DBB9">
        <w:tc>
          <w:tcPr>
            <w:tcW w:w="1125" w:type="dxa"/>
            <w:shd w:val="clear" w:color="auto" w:fill="FFFFFF" w:themeFill="background1"/>
          </w:tcPr>
          <w:p w14:paraId="265CB1CE"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D1DFD95" w14:textId="71B483A7"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Instytut Medycyny Pracy imienia prof. dr med. Jerzego Nofera w Łodzi</w:t>
            </w:r>
          </w:p>
        </w:tc>
        <w:tc>
          <w:tcPr>
            <w:tcW w:w="1949" w:type="dxa"/>
            <w:shd w:val="clear" w:color="auto" w:fill="FFFFFF" w:themeFill="background1"/>
          </w:tcPr>
          <w:p w14:paraId="12961D7D" w14:textId="3413AD3A"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Artykuł 5 pkt 5) lit c</w:t>
            </w:r>
          </w:p>
        </w:tc>
        <w:tc>
          <w:tcPr>
            <w:tcW w:w="5652" w:type="dxa"/>
            <w:shd w:val="clear" w:color="auto" w:fill="FFFFFF" w:themeFill="background1"/>
          </w:tcPr>
          <w:p w14:paraId="15AE4824" w14:textId="77777777" w:rsidR="0063705A" w:rsidRPr="001941B0" w:rsidRDefault="0063705A" w:rsidP="0063705A">
            <w:pPr>
              <w:widowControl w:val="0"/>
              <w:autoSpaceDE w:val="0"/>
              <w:autoSpaceDN w:val="0"/>
              <w:adjustRightInd w:val="0"/>
              <w:spacing w:after="0" w:line="240" w:lineRule="auto"/>
              <w:jc w:val="both"/>
              <w:rPr>
                <w:sz w:val="20"/>
                <w:szCs w:val="20"/>
              </w:rPr>
            </w:pPr>
            <w:r w:rsidRPr="001941B0">
              <w:rPr>
                <w:sz w:val="20"/>
                <w:szCs w:val="20"/>
              </w:rPr>
              <w:t xml:space="preserve">Konsekwentnie, w artykule 5 ustęp 5) lit c projektu ustawy proponujemy dodać punkt 24) o brzmieniu: </w:t>
            </w:r>
          </w:p>
          <w:p w14:paraId="23F60E84" w14:textId="50B4525B" w:rsidR="0063705A" w:rsidRPr="001941B0" w:rsidRDefault="0063705A" w:rsidP="006E0CB2">
            <w:pPr>
              <w:autoSpaceDE w:val="0"/>
              <w:autoSpaceDN w:val="0"/>
              <w:adjustRightInd w:val="0"/>
              <w:spacing w:after="0" w:line="240" w:lineRule="auto"/>
              <w:jc w:val="both"/>
              <w:rPr>
                <w:sz w:val="20"/>
                <w:szCs w:val="20"/>
              </w:rPr>
            </w:pPr>
            <w:r w:rsidRPr="001941B0">
              <w:rPr>
                <w:sz w:val="20"/>
                <w:szCs w:val="20"/>
              </w:rPr>
              <w:t>„dostęp do skierowań wydanych przez pracodawcę, o których mowa w art. 229 § 4a ustawy z dnia 26 czerwca 1974 r. – Kodeks pracy.”</w:t>
            </w:r>
          </w:p>
        </w:tc>
        <w:tc>
          <w:tcPr>
            <w:tcW w:w="2855" w:type="dxa"/>
            <w:shd w:val="clear" w:color="auto" w:fill="FFFFFF" w:themeFill="background1"/>
          </w:tcPr>
          <w:p w14:paraId="104F14C8" w14:textId="77777777" w:rsidR="009038C1" w:rsidRPr="001941B0" w:rsidRDefault="00F12F8F" w:rsidP="006E0CB2">
            <w:pPr>
              <w:autoSpaceDE w:val="0"/>
              <w:autoSpaceDN w:val="0"/>
              <w:adjustRightInd w:val="0"/>
              <w:spacing w:after="0" w:line="240" w:lineRule="auto"/>
              <w:rPr>
                <w:rFonts w:cstheme="minorHAnsi"/>
                <w:bCs/>
                <w:iCs/>
                <w:sz w:val="20"/>
                <w:szCs w:val="20"/>
              </w:rPr>
            </w:pPr>
            <w:r w:rsidRPr="001941B0">
              <w:rPr>
                <w:rFonts w:cstheme="minorHAnsi"/>
                <w:b/>
                <w:sz w:val="20"/>
                <w:szCs w:val="20"/>
              </w:rPr>
              <w:t>Uwaga nieuwzględniona</w:t>
            </w:r>
            <w:r w:rsidRPr="001941B0">
              <w:rPr>
                <w:rFonts w:cstheme="minorHAnsi"/>
                <w:bCs/>
                <w:iCs/>
                <w:sz w:val="20"/>
                <w:szCs w:val="20"/>
              </w:rPr>
              <w:t xml:space="preserve"> </w:t>
            </w:r>
          </w:p>
          <w:p w14:paraId="3197AA15" w14:textId="70821825" w:rsidR="0063705A" w:rsidRPr="001941B0" w:rsidRDefault="009038C1" w:rsidP="006E0CB2">
            <w:pPr>
              <w:autoSpaceDE w:val="0"/>
              <w:autoSpaceDN w:val="0"/>
              <w:adjustRightInd w:val="0"/>
              <w:spacing w:after="0" w:line="240" w:lineRule="auto"/>
              <w:rPr>
                <w:rFonts w:cstheme="minorHAnsi"/>
                <w:bCs/>
                <w:iCs/>
                <w:sz w:val="20"/>
                <w:szCs w:val="20"/>
              </w:rPr>
            </w:pPr>
            <w:r w:rsidRPr="001941B0">
              <w:rPr>
                <w:rFonts w:cstheme="minorHAnsi"/>
                <w:bCs/>
                <w:iCs/>
                <w:sz w:val="20"/>
                <w:szCs w:val="20"/>
              </w:rPr>
              <w:t>P</w:t>
            </w:r>
            <w:r w:rsidR="00F12F8F" w:rsidRPr="001941B0">
              <w:rPr>
                <w:rFonts w:cstheme="minorHAnsi"/>
                <w:bCs/>
                <w:iCs/>
                <w:sz w:val="20"/>
                <w:szCs w:val="20"/>
              </w:rPr>
              <w:t>oza zakres</w:t>
            </w:r>
            <w:r w:rsidR="00801A30" w:rsidRPr="001941B0">
              <w:rPr>
                <w:rFonts w:cstheme="minorHAnsi"/>
                <w:bCs/>
                <w:iCs/>
                <w:sz w:val="20"/>
                <w:szCs w:val="20"/>
              </w:rPr>
              <w:t>em</w:t>
            </w:r>
            <w:r w:rsidR="00F12F8F" w:rsidRPr="001941B0">
              <w:rPr>
                <w:rFonts w:cstheme="minorHAnsi"/>
                <w:bCs/>
                <w:iCs/>
                <w:sz w:val="20"/>
                <w:szCs w:val="20"/>
              </w:rPr>
              <w:t xml:space="preserve"> projektowanej regulacji</w:t>
            </w:r>
            <w:r w:rsidRPr="001941B0">
              <w:rPr>
                <w:rFonts w:cstheme="minorHAnsi"/>
                <w:bCs/>
                <w:iCs/>
                <w:sz w:val="20"/>
                <w:szCs w:val="20"/>
              </w:rPr>
              <w:t>,</w:t>
            </w:r>
            <w:r w:rsidR="00F12F8F" w:rsidRPr="001941B0">
              <w:rPr>
                <w:rFonts w:cstheme="minorHAnsi"/>
                <w:bCs/>
                <w:iCs/>
                <w:sz w:val="20"/>
                <w:szCs w:val="20"/>
              </w:rPr>
              <w:t xml:space="preserve"> wymaga zmiany szeregu innych ustaw/brak gotowości legislacyjnej i technologicznej.</w:t>
            </w:r>
          </w:p>
        </w:tc>
      </w:tr>
      <w:tr w:rsidR="00FC7212" w:rsidRPr="001941B0" w14:paraId="06E5639D" w14:textId="77777777" w:rsidTr="7139DBB9">
        <w:tc>
          <w:tcPr>
            <w:tcW w:w="1125" w:type="dxa"/>
            <w:shd w:val="clear" w:color="auto" w:fill="FFFFFF" w:themeFill="background1"/>
          </w:tcPr>
          <w:p w14:paraId="5E07C23D" w14:textId="77777777" w:rsidR="0063705A" w:rsidRPr="001941B0" w:rsidRDefault="0063705A"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AB380EA" w14:textId="5506B9B0" w:rsidR="0063705A" w:rsidRPr="001941B0" w:rsidRDefault="0063705A"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03657A49" w14:textId="2C3DA74E" w:rsidR="0063705A" w:rsidRPr="001941B0" w:rsidRDefault="0063705A" w:rsidP="006E0CB2">
            <w:pPr>
              <w:autoSpaceDE w:val="0"/>
              <w:autoSpaceDN w:val="0"/>
              <w:adjustRightInd w:val="0"/>
              <w:spacing w:after="0" w:line="240" w:lineRule="auto"/>
              <w:rPr>
                <w:rFonts w:cs="Calibri"/>
                <w:sz w:val="20"/>
                <w:szCs w:val="20"/>
              </w:rPr>
            </w:pPr>
            <w:r w:rsidRPr="001941B0">
              <w:rPr>
                <w:rFonts w:cs="Calibri"/>
                <w:sz w:val="20"/>
                <w:szCs w:val="20"/>
              </w:rPr>
              <w:t>Artykuł 5 pkt 7)</w:t>
            </w:r>
          </w:p>
        </w:tc>
        <w:tc>
          <w:tcPr>
            <w:tcW w:w="5652" w:type="dxa"/>
            <w:shd w:val="clear" w:color="auto" w:fill="FFFFFF" w:themeFill="background1"/>
          </w:tcPr>
          <w:p w14:paraId="1AB09D9A" w14:textId="63EBAE02" w:rsidR="0063705A" w:rsidRPr="001941B0" w:rsidRDefault="0063705A" w:rsidP="006E0CB2">
            <w:pPr>
              <w:autoSpaceDE w:val="0"/>
              <w:autoSpaceDN w:val="0"/>
              <w:adjustRightInd w:val="0"/>
              <w:spacing w:after="0" w:line="240" w:lineRule="auto"/>
              <w:rPr>
                <w:rFonts w:cs="Calibri"/>
                <w:b/>
                <w:bCs/>
                <w:iCs/>
                <w:sz w:val="20"/>
                <w:szCs w:val="20"/>
              </w:rPr>
            </w:pPr>
            <w:r w:rsidRPr="001941B0">
              <w:rPr>
                <w:rFonts w:cs="Calibri"/>
                <w:b/>
                <w:bCs/>
                <w:iCs/>
                <w:sz w:val="20"/>
                <w:szCs w:val="20"/>
                <w:u w:val="single"/>
              </w:rPr>
              <w:t>w art. 5 pkt 7 projektu ustawy dotyczącym zmian w ustawie z dnia 28 kwietnia 2011 r. o</w:t>
            </w:r>
            <w:r w:rsidRPr="001941B0">
              <w:rPr>
                <w:rFonts w:cs="Calibri"/>
                <w:b/>
                <w:bCs/>
                <w:iCs/>
                <w:sz w:val="20"/>
                <w:szCs w:val="20"/>
              </w:rPr>
              <w:t xml:space="preserve"> </w:t>
            </w:r>
            <w:r w:rsidRPr="001941B0">
              <w:rPr>
                <w:rFonts w:cs="Calibri"/>
                <w:b/>
                <w:bCs/>
                <w:iCs/>
                <w:sz w:val="20"/>
                <w:szCs w:val="20"/>
                <w:u w:val="single"/>
              </w:rPr>
              <w:t>systemie informacji w ochronie zdrowia (Dz. U. z 2025 r. poz. 302, 779, 1537 i 1705) w art. 11 ust. 3 zdanie drugie przyjmuje brzmienie:</w:t>
            </w:r>
            <w:r w:rsidRPr="001941B0">
              <w:rPr>
                <w:rFonts w:cs="Calibri"/>
                <w:b/>
                <w:bCs/>
                <w:iCs/>
                <w:sz w:val="20"/>
                <w:szCs w:val="20"/>
              </w:rPr>
              <w:t xml:space="preserve"> </w:t>
            </w:r>
          </w:p>
          <w:p w14:paraId="4A427A70" w14:textId="1884B01B" w:rsidR="0063705A" w:rsidRPr="001941B0" w:rsidRDefault="0063705A" w:rsidP="006E0CB2">
            <w:pPr>
              <w:autoSpaceDE w:val="0"/>
              <w:autoSpaceDN w:val="0"/>
              <w:adjustRightInd w:val="0"/>
              <w:spacing w:after="0" w:line="240" w:lineRule="auto"/>
              <w:rPr>
                <w:rFonts w:cs="Calibri"/>
                <w:iCs/>
                <w:sz w:val="20"/>
                <w:szCs w:val="20"/>
              </w:rPr>
            </w:pPr>
            <w:r w:rsidRPr="001941B0">
              <w:rPr>
                <w:rFonts w:cs="Calibri"/>
                <w:iCs/>
                <w:sz w:val="20"/>
                <w:szCs w:val="20"/>
              </w:rPr>
              <w:t>„</w:t>
            </w:r>
            <w:r w:rsidRPr="001941B0">
              <w:rPr>
                <w:rFonts w:cs="Calibri"/>
                <w:i/>
                <w:iCs/>
                <w:sz w:val="20"/>
                <w:szCs w:val="20"/>
              </w:rPr>
              <w:t xml:space="preserve">Dane dotyczące świadczeń finansowanych ze środków publicznych są udostępniane Narodowemu Funduszowi Zdrowia w celu rozliczania świadczeń opieki zdrowotne oraz Agencji Oceny Technologii Medycznych i Taryfikacji w celu w celu realizacji zadań określonych w art. 31n pkt 1-3d i 4a-5 ustawy o świadczeniach opieki zdrowotnej finansowanych ze środków publicznych oraz w celu dokonywania analiz na rzecz systemu ochrony zdrowia.” </w:t>
            </w:r>
          </w:p>
          <w:p w14:paraId="62F67699" w14:textId="19CBBAB9" w:rsidR="0063705A" w:rsidRPr="001941B0" w:rsidRDefault="0063705A" w:rsidP="006E0CB2">
            <w:pPr>
              <w:autoSpaceDE w:val="0"/>
              <w:autoSpaceDN w:val="0"/>
              <w:adjustRightInd w:val="0"/>
              <w:spacing w:after="0" w:line="240" w:lineRule="auto"/>
              <w:rPr>
                <w:rFonts w:cs="Calibri"/>
                <w:sz w:val="20"/>
                <w:szCs w:val="20"/>
                <w:u w:val="single"/>
              </w:rPr>
            </w:pPr>
            <w:r w:rsidRPr="001941B0">
              <w:rPr>
                <w:rFonts w:cs="Calibri"/>
                <w:sz w:val="20"/>
                <w:szCs w:val="20"/>
                <w:u w:val="single"/>
              </w:rPr>
              <w:t>Uzasadnienie</w:t>
            </w:r>
            <w:r w:rsidRPr="001941B0">
              <w:rPr>
                <w:rFonts w:cs="Calibri"/>
                <w:sz w:val="20"/>
                <w:szCs w:val="20"/>
              </w:rPr>
              <w:t xml:space="preserve"> </w:t>
            </w:r>
          </w:p>
          <w:p w14:paraId="6710FDDC" w14:textId="34EFBB01" w:rsidR="0063705A" w:rsidRPr="001941B0" w:rsidRDefault="0063705A" w:rsidP="006E0CB2">
            <w:pPr>
              <w:autoSpaceDE w:val="0"/>
              <w:autoSpaceDN w:val="0"/>
              <w:adjustRightInd w:val="0"/>
              <w:spacing w:after="0" w:line="240" w:lineRule="auto"/>
              <w:rPr>
                <w:rFonts w:cs="Calibri"/>
                <w:iCs/>
                <w:sz w:val="20"/>
                <w:szCs w:val="20"/>
              </w:rPr>
            </w:pPr>
            <w:r w:rsidRPr="001941B0">
              <w:rPr>
                <w:rFonts w:cs="Calibri"/>
                <w:iCs/>
                <w:sz w:val="20"/>
                <w:szCs w:val="20"/>
              </w:rPr>
              <w:lastRenderedPageBreak/>
              <w:t>Zasadne jest dodanie przepisu, na podstawie którego Agencja uzyska prawo do otrzymywania danych dotyczących świadczeń finansowanych ze środków publicznych zawartych w elektronicznej dokumentacji medycznej (SIM) w celu realizacji  zadań ustawowych Agencji  określonych w art. 31n pkt 1-3d</w:t>
            </w:r>
            <w:hyperlink r:id="rId11" w:anchor="/document/17127716">
              <w:r w:rsidRPr="001941B0">
                <w:rPr>
                  <w:rStyle w:val="Hipercze"/>
                  <w:rFonts w:cs="Calibri"/>
                  <w:iCs/>
                  <w:sz w:val="20"/>
                  <w:szCs w:val="20"/>
                </w:rPr>
                <w:t xml:space="preserve"> </w:t>
              </w:r>
            </w:hyperlink>
            <w:r w:rsidRPr="001941B0">
              <w:rPr>
                <w:rFonts w:cs="Calibri"/>
                <w:iCs/>
                <w:sz w:val="20"/>
                <w:szCs w:val="20"/>
              </w:rPr>
              <w:t>i 4a-5 ustawy z dnia 27 sierpnia 2004 r. o świadczeniach opieki zdrowotnej finansowanych ze środków publicznych oraz w celu dokonywania analiz na rzecz systemu opieki zdrowotnej, zlecanych przez Ministra Zdrowia.  Przedmiotowe dane są również niezbędne Agencji  w celu uzyskania rezultatów Projektów realizowanych w Agencji w ramach Programu Badawczo-Rozwojowego.</w:t>
            </w:r>
          </w:p>
        </w:tc>
        <w:tc>
          <w:tcPr>
            <w:tcW w:w="2855" w:type="dxa"/>
            <w:shd w:val="clear" w:color="auto" w:fill="FFFFFF" w:themeFill="background1"/>
          </w:tcPr>
          <w:p w14:paraId="4DC9C27F" w14:textId="0FA0882C" w:rsidR="00D5478F" w:rsidRPr="001941B0" w:rsidRDefault="00D5478F" w:rsidP="6AE9859C">
            <w:pPr>
              <w:spacing w:after="0" w:line="240" w:lineRule="auto"/>
              <w:rPr>
                <w:b/>
                <w:bCs/>
                <w:sz w:val="20"/>
                <w:szCs w:val="20"/>
              </w:rPr>
            </w:pPr>
            <w:r w:rsidRPr="001941B0">
              <w:rPr>
                <w:b/>
                <w:bCs/>
                <w:sz w:val="20"/>
                <w:szCs w:val="20"/>
              </w:rPr>
              <w:lastRenderedPageBreak/>
              <w:t>Uw</w:t>
            </w:r>
            <w:r w:rsidR="350E49CE" w:rsidRPr="001941B0">
              <w:rPr>
                <w:b/>
                <w:bCs/>
                <w:sz w:val="20"/>
                <w:szCs w:val="20"/>
              </w:rPr>
              <w:t xml:space="preserve">aga </w:t>
            </w:r>
            <w:r w:rsidR="0024694D" w:rsidRPr="001941B0">
              <w:rPr>
                <w:b/>
                <w:bCs/>
                <w:sz w:val="20"/>
                <w:szCs w:val="20"/>
              </w:rPr>
              <w:t>nie</w:t>
            </w:r>
            <w:r w:rsidR="350E49CE" w:rsidRPr="001941B0">
              <w:rPr>
                <w:b/>
                <w:bCs/>
                <w:sz w:val="20"/>
                <w:szCs w:val="20"/>
              </w:rPr>
              <w:t xml:space="preserve">uwzględniona </w:t>
            </w:r>
          </w:p>
          <w:p w14:paraId="5CB2D790" w14:textId="6082CC6D" w:rsidR="000D7B47" w:rsidRPr="001941B0" w:rsidRDefault="000D7B47" w:rsidP="6AE9859C">
            <w:pPr>
              <w:spacing w:after="0" w:line="240" w:lineRule="auto"/>
              <w:rPr>
                <w:b/>
                <w:bCs/>
                <w:sz w:val="20"/>
                <w:szCs w:val="20"/>
              </w:rPr>
            </w:pPr>
            <w:r w:rsidRPr="001941B0">
              <w:rPr>
                <w:b/>
                <w:bCs/>
                <w:sz w:val="20"/>
                <w:szCs w:val="20"/>
              </w:rPr>
              <w:t>Poza zakresem projektowanej regulacji</w:t>
            </w:r>
          </w:p>
          <w:p w14:paraId="11E7DBBC" w14:textId="1AF26533" w:rsidR="0063705A" w:rsidRPr="001941B0" w:rsidRDefault="0063705A" w:rsidP="006E0CB2">
            <w:pPr>
              <w:autoSpaceDE w:val="0"/>
              <w:autoSpaceDN w:val="0"/>
              <w:adjustRightInd w:val="0"/>
              <w:spacing w:after="0" w:line="240" w:lineRule="auto"/>
              <w:rPr>
                <w:sz w:val="20"/>
                <w:szCs w:val="20"/>
              </w:rPr>
            </w:pPr>
          </w:p>
        </w:tc>
      </w:tr>
      <w:tr w:rsidR="00FC7212" w:rsidRPr="001941B0" w14:paraId="2E47BF50" w14:textId="77777777" w:rsidTr="7139DBB9">
        <w:tc>
          <w:tcPr>
            <w:tcW w:w="1125" w:type="dxa"/>
            <w:shd w:val="clear" w:color="auto" w:fill="FFFFFF" w:themeFill="background1"/>
          </w:tcPr>
          <w:p w14:paraId="0BE047C9" w14:textId="77777777" w:rsidR="00134C2C" w:rsidRPr="001941B0" w:rsidRDefault="00134C2C"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62E9B40" w14:textId="4C4C5EAD" w:rsidR="00134C2C" w:rsidRPr="001941B0" w:rsidRDefault="00134C2C" w:rsidP="006E0CB2">
            <w:pPr>
              <w:autoSpaceDE w:val="0"/>
              <w:autoSpaceDN w:val="0"/>
              <w:adjustRightInd w:val="0"/>
              <w:spacing w:after="0" w:line="240" w:lineRule="auto"/>
              <w:rPr>
                <w:rFonts w:cs="Calibri"/>
                <w:bCs/>
                <w:sz w:val="20"/>
                <w:szCs w:val="20"/>
              </w:rPr>
            </w:pPr>
            <w:r w:rsidRPr="001941B0">
              <w:rPr>
                <w:rFonts w:cs="Calibri"/>
                <w:bCs/>
                <w:sz w:val="20"/>
                <w:szCs w:val="20"/>
              </w:rPr>
              <w:t>Naczelna Izba Lekarska</w:t>
            </w:r>
          </w:p>
        </w:tc>
        <w:tc>
          <w:tcPr>
            <w:tcW w:w="1949" w:type="dxa"/>
            <w:shd w:val="clear" w:color="auto" w:fill="FFFFFF" w:themeFill="background1"/>
          </w:tcPr>
          <w:p w14:paraId="3506A6B0" w14:textId="64C9FC22" w:rsidR="00134C2C" w:rsidRPr="001941B0" w:rsidRDefault="00134C2C" w:rsidP="006E0CB2">
            <w:pPr>
              <w:autoSpaceDE w:val="0"/>
              <w:autoSpaceDN w:val="0"/>
              <w:adjustRightInd w:val="0"/>
              <w:spacing w:after="0" w:line="240" w:lineRule="auto"/>
              <w:rPr>
                <w:rFonts w:cs="Calibri"/>
                <w:sz w:val="20"/>
                <w:szCs w:val="20"/>
              </w:rPr>
            </w:pPr>
            <w:r w:rsidRPr="001941B0">
              <w:rPr>
                <w:rFonts w:cs="Calibri"/>
                <w:sz w:val="20"/>
                <w:szCs w:val="20"/>
              </w:rPr>
              <w:t>Art. 5 pkt 9</w:t>
            </w:r>
          </w:p>
        </w:tc>
        <w:tc>
          <w:tcPr>
            <w:tcW w:w="5652" w:type="dxa"/>
            <w:shd w:val="clear" w:color="auto" w:fill="FFFFFF" w:themeFill="background1"/>
          </w:tcPr>
          <w:p w14:paraId="64686302" w14:textId="49AF8263" w:rsidR="00134C2C" w:rsidRPr="001941B0" w:rsidRDefault="00134C2C" w:rsidP="006E0CB2">
            <w:pPr>
              <w:autoSpaceDE w:val="0"/>
              <w:autoSpaceDN w:val="0"/>
              <w:adjustRightInd w:val="0"/>
              <w:spacing w:after="0" w:line="240" w:lineRule="auto"/>
              <w:rPr>
                <w:rFonts w:cs="Calibri"/>
                <w:sz w:val="20"/>
                <w:szCs w:val="20"/>
              </w:rPr>
            </w:pPr>
            <w:r w:rsidRPr="001941B0">
              <w:rPr>
                <w:rFonts w:cs="Calibri"/>
                <w:sz w:val="20"/>
                <w:szCs w:val="20"/>
              </w:rPr>
              <w:t xml:space="preserve">Na poparcie zasługuje art. 5 pkt 9 projektu ustawy, który przewiduje dodanie w ustawie z dnia 28 kwietnia 2011 r. o systemie informacji w ochronie zdrowia art. </w:t>
            </w:r>
            <w:r w:rsidR="006E563B" w:rsidRPr="001941B0">
              <w:rPr>
                <w:rFonts w:cs="Calibri"/>
                <w:sz w:val="20"/>
                <w:szCs w:val="20"/>
              </w:rPr>
              <w:t>11</w:t>
            </w:r>
            <w:r w:rsidRPr="001941B0">
              <w:rPr>
                <w:rFonts w:cs="Calibri"/>
                <w:sz w:val="20"/>
                <w:szCs w:val="20"/>
              </w:rPr>
              <w:t xml:space="preserve">c stanowiącego podstawę prawną dla utworzenia systemu Domowej Opieki Medycznej, jako nowego modułu SIM. Umożliwi on gromadzenie danych medycznych pochodzących z wyrobów medycznych albo aplikacji wspierających dobrostan stosowanych przez pacjentów oraz monitorowanie na podstawie tych danych stanu ich zdrowia. Włączenie pacjenta do tego monitoringu następować będzie na zlecenie lekarza i za zgodą samego pacjenta. Dane przetwarzane w systemie Domowej Opieki Medycznej będą do niego przekazywane przez samych pacjentów za pośrednictwem Internetowego Konta Pacjenta (art. </w:t>
            </w:r>
            <w:r w:rsidR="006E563B" w:rsidRPr="001941B0">
              <w:rPr>
                <w:rFonts w:cs="Calibri"/>
                <w:sz w:val="20"/>
                <w:szCs w:val="20"/>
              </w:rPr>
              <w:t>11</w:t>
            </w:r>
            <w:r w:rsidRPr="001941B0">
              <w:rPr>
                <w:rFonts w:cs="Calibri"/>
                <w:sz w:val="20"/>
                <w:szCs w:val="20"/>
              </w:rPr>
              <w:t>c ust. 3 pkt 1 ustawy o SIOZ), ale również przez usługodawców i podmioty, które wprowadziły do obrotu lub do używania wyroby medyczne.</w:t>
            </w:r>
          </w:p>
          <w:p w14:paraId="5B358FDE" w14:textId="1B480DFA" w:rsidR="00134C2C" w:rsidRPr="001941B0" w:rsidRDefault="00134C2C" w:rsidP="006E0CB2">
            <w:pPr>
              <w:autoSpaceDE w:val="0"/>
              <w:autoSpaceDN w:val="0"/>
              <w:adjustRightInd w:val="0"/>
              <w:spacing w:after="0" w:line="240" w:lineRule="auto"/>
              <w:rPr>
                <w:rFonts w:cs="Calibri"/>
                <w:bCs/>
                <w:sz w:val="20"/>
                <w:szCs w:val="20"/>
              </w:rPr>
            </w:pPr>
            <w:r w:rsidRPr="001941B0">
              <w:rPr>
                <w:rFonts w:cs="Calibri"/>
                <w:bCs/>
                <w:sz w:val="20"/>
                <w:szCs w:val="20"/>
              </w:rPr>
              <w:t xml:space="preserve">Na poparcie zasługuje art. 5 pkt 9 projektu ustawy, który przewiduje dodanie w ustawie z dnia 28 kwietnia 2011 r. o systemie informacji w ochronie zdrowia art. </w:t>
            </w:r>
            <w:r w:rsidR="006E563B" w:rsidRPr="001941B0">
              <w:rPr>
                <w:rFonts w:cs="Calibri"/>
                <w:bCs/>
                <w:sz w:val="20"/>
                <w:szCs w:val="20"/>
              </w:rPr>
              <w:t>11</w:t>
            </w:r>
            <w:r w:rsidRPr="001941B0">
              <w:rPr>
                <w:rFonts w:cs="Calibri"/>
                <w:bCs/>
                <w:sz w:val="20"/>
                <w:szCs w:val="20"/>
              </w:rPr>
              <w:t xml:space="preserve">d stanowiącego podstawę do wprowadzenia do SIM modułu e-Konsylium umożliwiającego przeprowadzanie zdalnych konsultacji medycznych z innymi świadczeniodawcami za pośrednictwem systemów teleinformatycznych lub systemów łączności (dodawany art. </w:t>
            </w:r>
            <w:r w:rsidR="006E563B" w:rsidRPr="001941B0">
              <w:rPr>
                <w:rFonts w:cs="Calibri"/>
                <w:bCs/>
                <w:sz w:val="20"/>
                <w:szCs w:val="20"/>
              </w:rPr>
              <w:t>11</w:t>
            </w:r>
            <w:r w:rsidRPr="001941B0">
              <w:rPr>
                <w:rFonts w:cs="Calibri"/>
                <w:bCs/>
                <w:sz w:val="20"/>
                <w:szCs w:val="20"/>
              </w:rPr>
              <w:t>d ust. 1 ustawy o SIOZ).</w:t>
            </w:r>
          </w:p>
        </w:tc>
        <w:tc>
          <w:tcPr>
            <w:tcW w:w="2855" w:type="dxa"/>
            <w:shd w:val="clear" w:color="auto" w:fill="FFFFFF" w:themeFill="background1"/>
          </w:tcPr>
          <w:p w14:paraId="30DD2100" w14:textId="34393F1E" w:rsidR="00134C2C" w:rsidRPr="001941B0" w:rsidRDefault="002772D7" w:rsidP="006E0CB2">
            <w:pPr>
              <w:autoSpaceDE w:val="0"/>
              <w:autoSpaceDN w:val="0"/>
              <w:adjustRightInd w:val="0"/>
              <w:spacing w:after="0" w:line="240" w:lineRule="auto"/>
              <w:rPr>
                <w:rFonts w:cstheme="minorHAnsi"/>
                <w:b/>
                <w:sz w:val="20"/>
                <w:szCs w:val="20"/>
              </w:rPr>
            </w:pPr>
            <w:r w:rsidRPr="001941B0">
              <w:rPr>
                <w:rFonts w:eastAsiaTheme="minorEastAsia"/>
                <w:b/>
                <w:sz w:val="20"/>
                <w:szCs w:val="20"/>
              </w:rPr>
              <w:t>Uwaga o charakterze komentarza</w:t>
            </w:r>
          </w:p>
        </w:tc>
      </w:tr>
      <w:tr w:rsidR="00FC7212" w:rsidRPr="001941B0" w14:paraId="74142ECF" w14:textId="77777777" w:rsidTr="7139DBB9">
        <w:tc>
          <w:tcPr>
            <w:tcW w:w="1125" w:type="dxa"/>
            <w:shd w:val="clear" w:color="auto" w:fill="FFFFFF" w:themeFill="background1"/>
          </w:tcPr>
          <w:p w14:paraId="6C2A8341" w14:textId="77777777" w:rsidR="00134C2C" w:rsidRPr="001941B0" w:rsidRDefault="00134C2C"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5FA362C" w14:textId="46384740" w:rsidR="00134C2C" w:rsidRPr="001941B0" w:rsidRDefault="00134C2C"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5AFCFCA4" w14:textId="77ED2020" w:rsidR="00134C2C" w:rsidRPr="001941B0" w:rsidRDefault="00134C2C"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4D81EC31" w14:textId="77777777" w:rsidR="00134C2C" w:rsidRPr="001941B0" w:rsidRDefault="00134C2C"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w art. 5 pkt 9 projektu ustawy dotyczącym zmian w ustawie z dnia 28 kwietnia 2011 r. o systemie informacji w ochronie zdrowia (Dz. U. z 2025 r. poz. 302, 779, 1537 i 1705) w art. 11c: </w:t>
            </w:r>
          </w:p>
          <w:p w14:paraId="4DB15F36" w14:textId="77777777" w:rsidR="00134C2C" w:rsidRPr="001941B0" w:rsidRDefault="00134C2C"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a) ust. 1 nadaje się brzmienie: </w:t>
            </w:r>
          </w:p>
          <w:p w14:paraId="63173077" w14:textId="77777777" w:rsidR="00134C2C" w:rsidRPr="001941B0" w:rsidRDefault="00134C2C"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„1. System Domowej Opieki Medycznej stanowi moduł SIM umożliwiający gromadzenie za pośrednictwem systemów teleinformatycznych lub systemów łączności na zlecenie lekarza i za zgodą usługobiorcy danych osobowych i jednostkowych danych medycznych pochodzących z wyrobów medycznych albo aplikacji wspierających dobrostan stosowanych przez tego usługobiorcę oraz monitorowanie na podstawie tych danych stanu zdrowia usługobiorcy w celu zapewnienia mu adekwatnej do jego stanu zdrowia opieki zdrowotnej oraz pozyskiwania danych na potrzeby oceny skuteczności klinicznej i efektywności kosztowej technologii medycznych.” </w:t>
            </w:r>
          </w:p>
          <w:p w14:paraId="42491F61" w14:textId="77777777" w:rsidR="00134C2C" w:rsidRPr="001941B0" w:rsidRDefault="00134C2C" w:rsidP="006E0CB2">
            <w:pPr>
              <w:autoSpaceDE w:val="0"/>
              <w:autoSpaceDN w:val="0"/>
              <w:adjustRightInd w:val="0"/>
              <w:spacing w:after="0" w:line="240" w:lineRule="auto"/>
              <w:rPr>
                <w:rFonts w:cs="Calibri"/>
                <w:iCs/>
                <w:sz w:val="20"/>
                <w:szCs w:val="20"/>
              </w:rPr>
            </w:pPr>
            <w:r w:rsidRPr="001941B0">
              <w:rPr>
                <w:rFonts w:cs="Calibri"/>
                <w:iCs/>
                <w:sz w:val="20"/>
                <w:szCs w:val="20"/>
              </w:rPr>
              <w:t xml:space="preserve">Uzasadnienie </w:t>
            </w:r>
          </w:p>
          <w:p w14:paraId="3675046F" w14:textId="2C716568" w:rsidR="00134C2C" w:rsidRPr="001941B0" w:rsidRDefault="00134C2C" w:rsidP="006E0CB2">
            <w:pPr>
              <w:autoSpaceDE w:val="0"/>
              <w:autoSpaceDN w:val="0"/>
              <w:adjustRightInd w:val="0"/>
              <w:spacing w:after="0" w:line="240" w:lineRule="auto"/>
              <w:rPr>
                <w:rFonts w:cs="Calibri"/>
                <w:iCs/>
                <w:sz w:val="20"/>
                <w:szCs w:val="20"/>
              </w:rPr>
            </w:pPr>
            <w:r w:rsidRPr="001941B0">
              <w:rPr>
                <w:rFonts w:cs="Calibri"/>
                <w:iCs/>
                <w:sz w:val="20"/>
                <w:szCs w:val="20"/>
              </w:rPr>
              <w:t>Obecny projekt przepisu definiuje System Domowej Opieki Medycznej  wyłącznie jako narzędzie kliniczne. Aby System Domowej Opieki Medycznej mógł służyć jako źródło danych do analiz, cel analityczny (wtórne wykorzystanie danych) musi być wskazany ustawowo. Zdefiniowanie tego celu na poziomie ustawy wymusi na dostawcy systemu uwzględnienie odpowiednich standardów jakości danych już na etapie projektowania architektury, co jest niezbędne do późniejszego wnioskowania statystycznego.</w:t>
            </w:r>
          </w:p>
        </w:tc>
        <w:tc>
          <w:tcPr>
            <w:tcW w:w="2855" w:type="dxa"/>
            <w:shd w:val="clear" w:color="auto" w:fill="FFFFFF" w:themeFill="background1"/>
          </w:tcPr>
          <w:p w14:paraId="4237DC88" w14:textId="7708188C" w:rsidR="00134C2C" w:rsidRPr="001941B0" w:rsidRDefault="00134C2C" w:rsidP="006E0CB2">
            <w:pPr>
              <w:autoSpaceDE w:val="0"/>
              <w:autoSpaceDN w:val="0"/>
              <w:adjustRightInd w:val="0"/>
              <w:spacing w:after="0" w:line="240" w:lineRule="auto"/>
              <w:rPr>
                <w:sz w:val="20"/>
                <w:szCs w:val="20"/>
              </w:rPr>
            </w:pPr>
            <w:r w:rsidRPr="001941B0">
              <w:rPr>
                <w:b/>
                <w:sz w:val="20"/>
                <w:szCs w:val="20"/>
              </w:rPr>
              <w:t xml:space="preserve">Uwaga </w:t>
            </w:r>
            <w:r w:rsidR="00A814E2" w:rsidRPr="001941B0">
              <w:rPr>
                <w:b/>
                <w:sz w:val="20"/>
                <w:szCs w:val="20"/>
              </w:rPr>
              <w:t>uwzględniona</w:t>
            </w:r>
            <w:r w:rsidRPr="001941B0">
              <w:rPr>
                <w:sz w:val="20"/>
                <w:szCs w:val="20"/>
              </w:rPr>
              <w:t xml:space="preserve"> </w:t>
            </w:r>
            <w:r w:rsidR="00E00EE1" w:rsidRPr="001941B0">
              <w:rPr>
                <w:sz w:val="20"/>
                <w:szCs w:val="20"/>
              </w:rPr>
              <w:t xml:space="preserve"> </w:t>
            </w:r>
          </w:p>
        </w:tc>
      </w:tr>
      <w:tr w:rsidR="00FC7212" w:rsidRPr="001941B0" w14:paraId="0CB56001" w14:textId="77777777" w:rsidTr="7139DBB9">
        <w:tc>
          <w:tcPr>
            <w:tcW w:w="1125" w:type="dxa"/>
            <w:shd w:val="clear" w:color="auto" w:fill="FFFFFF" w:themeFill="background1"/>
          </w:tcPr>
          <w:p w14:paraId="0A1A4E4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E3AB53E" w14:textId="4AE15388"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1D47DA20" w14:textId="798300E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6B7818FD"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w art. 5 pkt 9 projektu ustawy dotyczącym zmian w ustawie z dnia 28 kwietnia 2011 r. o systemie informacji w ochronie zdrowia (Dz. U. z 2025 r. poz. 302, 779, 1537 i 1705) w art. 11c: </w:t>
            </w:r>
          </w:p>
          <w:p w14:paraId="476B6DA5" w14:textId="77777777"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b/>
                <w:iCs/>
                <w:sz w:val="20"/>
                <w:szCs w:val="20"/>
              </w:rPr>
              <w:t xml:space="preserve">b) ust. 2 po pkt 5 dodaje się pkt 6 w  brzmieniu: </w:t>
            </w:r>
          </w:p>
          <w:p w14:paraId="71866FDA" w14:textId="55DAC9BC"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 xml:space="preserve">„6) „dane identyfikujące wyrób medyczny lub aplikację, z której pochodzą dane, w tym kod UDI (Unique Device Identifier) lub wersję oprogramowania oraz metadane określające sposób wprowadzenia danych (automatyczny transfer lub </w:t>
            </w:r>
            <w:r w:rsidRPr="001941B0">
              <w:rPr>
                <w:rFonts w:cs="Calibri"/>
                <w:i/>
                <w:iCs/>
                <w:sz w:val="20"/>
                <w:szCs w:val="20"/>
              </w:rPr>
              <w:t xml:space="preserve">wprowadzenie ręczne)”. </w:t>
            </w:r>
            <w:r w:rsidRPr="001941B0">
              <w:rPr>
                <w:rFonts w:cs="Calibri"/>
                <w:b/>
                <w:iCs/>
                <w:sz w:val="20"/>
                <w:szCs w:val="20"/>
              </w:rPr>
              <w:t xml:space="preserve"> </w:t>
            </w:r>
          </w:p>
          <w:p w14:paraId="74399086" w14:textId="4F62A6E4" w:rsidR="00306E53" w:rsidRPr="001941B0" w:rsidRDefault="00306E53" w:rsidP="006E0CB2">
            <w:pPr>
              <w:autoSpaceDE w:val="0"/>
              <w:autoSpaceDN w:val="0"/>
              <w:adjustRightInd w:val="0"/>
              <w:spacing w:after="0" w:line="240" w:lineRule="auto"/>
              <w:rPr>
                <w:rFonts w:cs="Calibri"/>
                <w:iCs/>
                <w:sz w:val="20"/>
                <w:szCs w:val="20"/>
                <w:u w:val="single"/>
              </w:rPr>
            </w:pPr>
            <w:r w:rsidRPr="001941B0">
              <w:rPr>
                <w:rFonts w:cs="Calibri"/>
                <w:iCs/>
                <w:sz w:val="20"/>
                <w:szCs w:val="20"/>
                <w:u w:val="single"/>
              </w:rPr>
              <w:lastRenderedPageBreak/>
              <w:t>Uzasadnienie</w:t>
            </w:r>
            <w:r w:rsidRPr="001941B0">
              <w:rPr>
                <w:rFonts w:cs="Calibri"/>
                <w:iCs/>
                <w:sz w:val="20"/>
                <w:szCs w:val="20"/>
              </w:rPr>
              <w:t xml:space="preserve"> </w:t>
            </w:r>
          </w:p>
          <w:p w14:paraId="703BD795" w14:textId="77777777" w:rsidR="00B30B6A"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 xml:space="preserve">W katalogu przetwarzanych danych należy dodać punkt o treści: „dane identyfikujące wyrób medyczny lub aplikację, z której pochodzą dane, w tym kod UDI (Unique Device Identifier) lub wersję oprogramowania oraz metadane określające sposób wprowadzenia danych (automatyczny transfer lub wprowadzenie ręczne)”. Z perspektywy inżynierii danych i zadań HTA, sam wynik pomiaru jest niewystarczający bez kontekstu jego powstania. Agencja musi mieć techniczną możliwość rozróżnienia danych pochodzących z </w:t>
            </w:r>
          </w:p>
          <w:p w14:paraId="6887C5DB" w14:textId="54EBAC3F"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certyfikowanych wyrobów medycznych od danych z aplikacji „wellness” oraz danych wprowadzanych ręcznie (deklaratywnych). Jest to kluczowe dla wiarygodności taryfikacji procedur monitorowania. Przez brak tych metadanych Agencja nie będzie w stanie ocenić skuteczności konkretnej technologii (np. konkretnego modelu telemonitora), ponieważ w bazie wszystkie wyniki będą pozbawione tej informacji. Uniemożliwi to precyzyjną wycenę świadczeń opartą na jakości sprzętu.</w:t>
            </w:r>
          </w:p>
        </w:tc>
        <w:tc>
          <w:tcPr>
            <w:tcW w:w="2855" w:type="dxa"/>
            <w:shd w:val="clear" w:color="auto" w:fill="FFFFFF" w:themeFill="background1"/>
          </w:tcPr>
          <w:p w14:paraId="2C933BC8" w14:textId="0CA2A0A2" w:rsidR="00306E53" w:rsidRPr="001941B0" w:rsidRDefault="080A6F23" w:rsidP="006E0CB2">
            <w:pPr>
              <w:autoSpaceDE w:val="0"/>
              <w:autoSpaceDN w:val="0"/>
              <w:adjustRightInd w:val="0"/>
              <w:spacing w:after="0" w:line="240" w:lineRule="auto"/>
              <w:rPr>
                <w:b/>
                <w:sz w:val="20"/>
                <w:szCs w:val="20"/>
              </w:rPr>
            </w:pPr>
            <w:r w:rsidRPr="001941B0">
              <w:rPr>
                <w:b/>
                <w:sz w:val="20"/>
                <w:szCs w:val="20"/>
              </w:rPr>
              <w:lastRenderedPageBreak/>
              <w:t xml:space="preserve">Uwaga </w:t>
            </w:r>
            <w:r w:rsidR="00B30B6A" w:rsidRPr="001941B0">
              <w:rPr>
                <w:b/>
                <w:sz w:val="20"/>
                <w:szCs w:val="20"/>
              </w:rPr>
              <w:t>częściowo uwzględniona</w:t>
            </w:r>
            <w:r w:rsidR="00DA2CE0" w:rsidRPr="001941B0">
              <w:rPr>
                <w:b/>
                <w:sz w:val="20"/>
                <w:szCs w:val="20"/>
              </w:rPr>
              <w:t xml:space="preserve"> poprzez zapewnienie identyfi</w:t>
            </w:r>
            <w:r w:rsidR="007603D8" w:rsidRPr="001941B0">
              <w:rPr>
                <w:b/>
                <w:sz w:val="20"/>
                <w:szCs w:val="20"/>
              </w:rPr>
              <w:t>k</w:t>
            </w:r>
            <w:r w:rsidR="00083CC8" w:rsidRPr="001941B0">
              <w:rPr>
                <w:b/>
                <w:sz w:val="20"/>
                <w:szCs w:val="20"/>
              </w:rPr>
              <w:t>ow</w:t>
            </w:r>
            <w:r w:rsidR="007603D8" w:rsidRPr="001941B0">
              <w:rPr>
                <w:b/>
                <w:sz w:val="20"/>
                <w:szCs w:val="20"/>
              </w:rPr>
              <w:t>alności wyrobu</w:t>
            </w:r>
            <w:r w:rsidR="00083CC8" w:rsidRPr="001941B0">
              <w:rPr>
                <w:b/>
                <w:sz w:val="20"/>
                <w:szCs w:val="20"/>
              </w:rPr>
              <w:t xml:space="preserve"> medycznego</w:t>
            </w:r>
            <w:r w:rsidR="007603D8" w:rsidRPr="001941B0">
              <w:rPr>
                <w:b/>
                <w:sz w:val="20"/>
                <w:szCs w:val="20"/>
              </w:rPr>
              <w:t xml:space="preserve"> </w:t>
            </w:r>
          </w:p>
          <w:p w14:paraId="722421BF" w14:textId="0D588F96" w:rsidR="00B30B6A" w:rsidRPr="001941B0" w:rsidRDefault="00B30B6A" w:rsidP="006E0CB2">
            <w:pPr>
              <w:autoSpaceDE w:val="0"/>
              <w:autoSpaceDN w:val="0"/>
              <w:adjustRightInd w:val="0"/>
              <w:spacing w:after="0" w:line="240" w:lineRule="auto"/>
              <w:rPr>
                <w:rFonts w:cs="Calibri"/>
                <w:iCs/>
                <w:sz w:val="20"/>
                <w:szCs w:val="20"/>
              </w:rPr>
            </w:pPr>
          </w:p>
          <w:p w14:paraId="3BBE404B" w14:textId="28142609" w:rsidR="00B30B6A" w:rsidRPr="001941B0" w:rsidRDefault="00B30B6A" w:rsidP="006E0CB2">
            <w:pPr>
              <w:autoSpaceDE w:val="0"/>
              <w:autoSpaceDN w:val="0"/>
              <w:adjustRightInd w:val="0"/>
              <w:spacing w:after="0" w:line="240" w:lineRule="auto"/>
              <w:rPr>
                <w:b/>
                <w:sz w:val="20"/>
                <w:szCs w:val="20"/>
              </w:rPr>
            </w:pPr>
          </w:p>
        </w:tc>
      </w:tr>
      <w:tr w:rsidR="00FC7212" w:rsidRPr="001941B0" w14:paraId="3958A009" w14:textId="77777777" w:rsidTr="7139DBB9">
        <w:tc>
          <w:tcPr>
            <w:tcW w:w="1125" w:type="dxa"/>
            <w:shd w:val="clear" w:color="auto" w:fill="FFFFFF" w:themeFill="background1"/>
          </w:tcPr>
          <w:p w14:paraId="53AFC5D9"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945F24C" w14:textId="5676E627"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2B6D06A2" w14:textId="7BB466A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3A7AA093"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w art. 5 pkt 9 projektu ustawy dotyczącym zmian w ustawie z dnia 28 kwietnia 2011 r. o systemie informacji w ochronie zdrowia (Dz. U. z 2025 r. poz. 302, 779, 1537 i 1705) w art. 11c: </w:t>
            </w:r>
          </w:p>
          <w:p w14:paraId="3199ACC0"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c) ust. 7 nadaje się brzmienie: </w:t>
            </w:r>
          </w:p>
          <w:p w14:paraId="7B5E0C09" w14:textId="77777777" w:rsidR="00306E53" w:rsidRPr="001941B0" w:rsidRDefault="00306E53" w:rsidP="006E0CB2">
            <w:pPr>
              <w:autoSpaceDE w:val="0"/>
              <w:autoSpaceDN w:val="0"/>
              <w:adjustRightInd w:val="0"/>
              <w:spacing w:after="0" w:line="240" w:lineRule="auto"/>
              <w:rPr>
                <w:rFonts w:cs="Calibri"/>
                <w:i/>
                <w:iCs/>
                <w:sz w:val="20"/>
                <w:szCs w:val="20"/>
              </w:rPr>
            </w:pPr>
            <w:r w:rsidRPr="001941B0">
              <w:rPr>
                <w:rFonts w:cs="Calibri"/>
                <w:i/>
                <w:iCs/>
                <w:sz w:val="20"/>
                <w:szCs w:val="20"/>
              </w:rPr>
              <w:t xml:space="preserve">„7. Minister właściwy do spraw zdrowia </w:t>
            </w:r>
            <w:r w:rsidRPr="001941B0">
              <w:rPr>
                <w:rFonts w:cs="Calibri"/>
                <w:b/>
                <w:bCs/>
                <w:i/>
                <w:iCs/>
                <w:sz w:val="20"/>
                <w:szCs w:val="20"/>
              </w:rPr>
              <w:t>udostępnia</w:t>
            </w:r>
            <w:r w:rsidRPr="001941B0">
              <w:rPr>
                <w:rFonts w:cs="Calibri"/>
                <w:i/>
                <w:iCs/>
                <w:sz w:val="20"/>
                <w:szCs w:val="20"/>
              </w:rPr>
              <w:t xml:space="preserve"> dane gromadzone w systemie Domowej Opieki Medycznej: </w:t>
            </w:r>
          </w:p>
          <w:p w14:paraId="618B9580" w14:textId="168B5C3B"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1) Narodowemu Funduszowi Zdrowia, </w:t>
            </w:r>
          </w:p>
          <w:p w14:paraId="42F32957" w14:textId="48C4E94C"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2) Agencji Badań Medycznych, </w:t>
            </w:r>
          </w:p>
          <w:p w14:paraId="0585C048" w14:textId="0CA7A531"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3) Agencji Oceny Technologii Medycznych i Taryfikacji, </w:t>
            </w:r>
          </w:p>
          <w:p w14:paraId="43EE024D" w14:textId="20E8AB8D"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4) Urzędowi Rejestracji Produktów Leczniczych, Wyrobów Medycznych i Produktów Biobójczych </w:t>
            </w:r>
          </w:p>
          <w:p w14:paraId="1CDB0FBA" w14:textId="77777777"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 w celu monitorowania polityki zdrowotnej państwa oraz podnoszenia jakości i dostępności świadczeń opieki zdrowotnej.”; </w:t>
            </w:r>
          </w:p>
          <w:p w14:paraId="155BC1BF" w14:textId="77777777" w:rsidR="00306E53" w:rsidRPr="001941B0" w:rsidRDefault="00306E53" w:rsidP="006E0CB2">
            <w:pPr>
              <w:autoSpaceDE w:val="0"/>
              <w:autoSpaceDN w:val="0"/>
              <w:adjustRightInd w:val="0"/>
              <w:spacing w:after="0" w:line="240" w:lineRule="auto"/>
              <w:rPr>
                <w:rFonts w:cs="Calibri"/>
                <w:iCs/>
                <w:sz w:val="20"/>
                <w:szCs w:val="20"/>
                <w:u w:val="single"/>
              </w:rPr>
            </w:pPr>
            <w:r w:rsidRPr="001941B0">
              <w:rPr>
                <w:rFonts w:cs="Calibri"/>
                <w:iCs/>
                <w:sz w:val="20"/>
                <w:szCs w:val="20"/>
                <w:u w:val="single"/>
              </w:rPr>
              <w:t>Uzasadnienie</w:t>
            </w:r>
            <w:r w:rsidRPr="001941B0">
              <w:rPr>
                <w:rFonts w:cs="Calibri"/>
                <w:iCs/>
                <w:sz w:val="20"/>
                <w:szCs w:val="20"/>
              </w:rPr>
              <w:t xml:space="preserve"> </w:t>
            </w:r>
          </w:p>
          <w:p w14:paraId="10A43119" w14:textId="7DF74A22"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lastRenderedPageBreak/>
              <w:t xml:space="preserve"> Zasadne jest zastąpienie w przedmiotowym przepisie sformułowania „może udostępnić” na sformułowanie „udostępnia”. </w:t>
            </w:r>
          </w:p>
        </w:tc>
        <w:tc>
          <w:tcPr>
            <w:tcW w:w="2855" w:type="dxa"/>
            <w:shd w:val="clear" w:color="auto" w:fill="FFFFFF" w:themeFill="background1"/>
          </w:tcPr>
          <w:p w14:paraId="0F014AE6" w14:textId="688B8B39" w:rsidR="00306E53" w:rsidRPr="001941B0" w:rsidRDefault="7DEE68EA" w:rsidP="006E0CB2">
            <w:pPr>
              <w:autoSpaceDE w:val="0"/>
              <w:autoSpaceDN w:val="0"/>
              <w:adjustRightInd w:val="0"/>
              <w:spacing w:after="0" w:line="240" w:lineRule="auto"/>
              <w:rPr>
                <w:b/>
                <w:color w:val="000000" w:themeColor="text1"/>
                <w:sz w:val="20"/>
                <w:szCs w:val="20"/>
              </w:rPr>
            </w:pPr>
            <w:r w:rsidRPr="001941B0">
              <w:rPr>
                <w:b/>
                <w:color w:val="000000" w:themeColor="text1"/>
                <w:sz w:val="20"/>
                <w:szCs w:val="20"/>
              </w:rPr>
              <w:lastRenderedPageBreak/>
              <w:t>Uwaga nieuwzględniona</w:t>
            </w:r>
          </w:p>
          <w:p w14:paraId="05FC410F" w14:textId="78FC055C" w:rsidR="00306E53" w:rsidRPr="001941B0" w:rsidRDefault="7DEE68EA" w:rsidP="006E0CB2">
            <w:pPr>
              <w:autoSpaceDE w:val="0"/>
              <w:autoSpaceDN w:val="0"/>
              <w:adjustRightInd w:val="0"/>
              <w:spacing w:after="0" w:line="240" w:lineRule="auto"/>
              <w:rPr>
                <w:color w:val="000000" w:themeColor="text1"/>
                <w:sz w:val="20"/>
                <w:szCs w:val="20"/>
              </w:rPr>
            </w:pPr>
            <w:r w:rsidRPr="001941B0">
              <w:rPr>
                <w:color w:val="000000" w:themeColor="text1"/>
                <w:sz w:val="20"/>
                <w:szCs w:val="20"/>
              </w:rPr>
              <w:t>Udostępnianie ma charakter fakultatywny</w:t>
            </w:r>
            <w:r w:rsidR="0088764B" w:rsidRPr="001941B0">
              <w:rPr>
                <w:color w:val="000000" w:themeColor="text1"/>
                <w:sz w:val="20"/>
                <w:szCs w:val="20"/>
              </w:rPr>
              <w:t>.</w:t>
            </w:r>
          </w:p>
        </w:tc>
      </w:tr>
      <w:tr w:rsidR="00FC7212" w:rsidRPr="001941B0" w14:paraId="63BB51D6" w14:textId="77777777" w:rsidTr="7139DBB9">
        <w:tc>
          <w:tcPr>
            <w:tcW w:w="1125" w:type="dxa"/>
            <w:shd w:val="clear" w:color="auto" w:fill="FFFFFF" w:themeFill="background1"/>
          </w:tcPr>
          <w:p w14:paraId="7F92CFB4"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E371FEE" w14:textId="70A37988"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63D0CAE5" w14:textId="52762F20"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18A4CE3F"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w art. 5 pkt 9 projektu ustawy dotyczącym zmian w ustawie z dnia 28 kwietnia 2011 r. o systemie informacji w ochronie zdrowia (Dz. U. z 2025 r. poz. 302, 779, 1537 i 1705) w art. 11c: </w:t>
            </w:r>
          </w:p>
          <w:p w14:paraId="24DF62E9"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d) po  ust. 7 dodaje się ust. 8 w brzmieniu: </w:t>
            </w:r>
          </w:p>
          <w:p w14:paraId="0AAF4201" w14:textId="77806F60"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b/>
                <w:bCs/>
                <w:iCs/>
                <w:sz w:val="20"/>
                <w:szCs w:val="20"/>
              </w:rPr>
              <w:t xml:space="preserve"> </w:t>
            </w:r>
            <w:r w:rsidRPr="001941B0">
              <w:rPr>
                <w:rFonts w:cs="Calibri"/>
                <w:i/>
                <w:iCs/>
                <w:sz w:val="20"/>
                <w:szCs w:val="20"/>
              </w:rPr>
              <w:t>„8. Minister właściwy do spraw zdrowia udostępnia Agencji Oceny Technologii Medycznych i Taryfikacji dane gromadzone w systemie Domowej Opieki Medycznej w sposób zautomatyzowany oraz z wykorzystaniem mechanizmu technicznego umożliwiającego bezpieczne powiązanie tych pseudonimizowanych danych z danymi przetwarzanymi w Agencji Oceny Technologii Medycznych i Taryfikacji, w celu realizacji  zadań określonych w art. 31n pkt 1-3d</w:t>
            </w:r>
            <w:hyperlink r:id="rId12" w:anchor="/document/17127716">
              <w:r w:rsidRPr="001941B0">
                <w:rPr>
                  <w:rStyle w:val="Hipercze"/>
                  <w:rFonts w:cs="Calibri"/>
                  <w:i/>
                  <w:iCs/>
                  <w:sz w:val="20"/>
                  <w:szCs w:val="20"/>
                </w:rPr>
                <w:t xml:space="preserve"> </w:t>
              </w:r>
            </w:hyperlink>
            <w:r w:rsidRPr="001941B0">
              <w:rPr>
                <w:rFonts w:cs="Calibri"/>
                <w:i/>
                <w:iCs/>
                <w:sz w:val="20"/>
                <w:szCs w:val="20"/>
              </w:rPr>
              <w:t xml:space="preserve">i 4a-5 ustawy z dnia 27 sierpnia 2004 r. o świadczeniach opieki zdrowotnej finansowanych ze środków publicznych oraz w celu dokonywania analiz na rzecz systemu ochrony zdrowia.” </w:t>
            </w:r>
          </w:p>
          <w:p w14:paraId="5DCCE07B" w14:textId="1EA54C30" w:rsidR="00306E53" w:rsidRPr="001941B0" w:rsidRDefault="00306E53" w:rsidP="006E0CB2">
            <w:pPr>
              <w:autoSpaceDE w:val="0"/>
              <w:autoSpaceDN w:val="0"/>
              <w:adjustRightInd w:val="0"/>
              <w:spacing w:after="0" w:line="240" w:lineRule="auto"/>
              <w:rPr>
                <w:rFonts w:cs="Calibri"/>
                <w:iCs/>
                <w:sz w:val="20"/>
                <w:szCs w:val="20"/>
                <w:u w:val="single"/>
              </w:rPr>
            </w:pPr>
            <w:r w:rsidRPr="001941B0">
              <w:rPr>
                <w:rFonts w:cs="Calibri"/>
                <w:iCs/>
                <w:sz w:val="20"/>
                <w:szCs w:val="20"/>
                <w:u w:val="single"/>
              </w:rPr>
              <w:t>Uzasadnienie</w:t>
            </w:r>
            <w:r w:rsidRPr="001941B0">
              <w:rPr>
                <w:rFonts w:cs="Calibri"/>
                <w:iCs/>
                <w:sz w:val="20"/>
                <w:szCs w:val="20"/>
              </w:rPr>
              <w:t xml:space="preserve"> </w:t>
            </w:r>
          </w:p>
          <w:p w14:paraId="2404DBD0" w14:textId="4B62FC12"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Zasadne jest dodanie przepisu na podstawie którego Agencja uzyska prawo do otrzymywania danych z systemu Domowej Opieki Medycznej nie tylko do realizacji celu określonego w art. 11c ust. 7, ale również w celu realizacji  zadań ustawowych Agencji  określonych w art. 31n pkt 1-3d</w:t>
            </w:r>
            <w:hyperlink r:id="rId13" w:anchor="/document/17127716">
              <w:r w:rsidRPr="001941B0">
                <w:rPr>
                  <w:rStyle w:val="Hipercze"/>
                  <w:rFonts w:cs="Calibri"/>
                  <w:iCs/>
                  <w:sz w:val="20"/>
                  <w:szCs w:val="20"/>
                </w:rPr>
                <w:t xml:space="preserve"> </w:t>
              </w:r>
            </w:hyperlink>
            <w:r w:rsidRPr="001941B0">
              <w:rPr>
                <w:rFonts w:cs="Calibri"/>
                <w:iCs/>
                <w:sz w:val="20"/>
                <w:szCs w:val="20"/>
              </w:rPr>
              <w:t xml:space="preserve">i 4a-5 ustawy z dnia 27 sierpnia 2004 r. o świadczeniach opieki zdrowotnej finansowanych ze środków publicznych, w tym w  szczególności w celu prowadzenia analiz z obszaru stosowania wyrobów medycznych, częstotliwości ich użytkowania i oceny skuteczności leczenia z zastosowaniem wyrobów medycznych oraz na potrzeby dokonywania analiz danych dotyczących pacjentów objętych opieką kardiologiczną, przetwarzanych w systemie Domowej Opieki Medycznej. </w:t>
            </w:r>
          </w:p>
          <w:p w14:paraId="5C04A06F" w14:textId="74D0B531"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 xml:space="preserve">Kluczowym dla Agencji wymogiem jest interoperacyjność. Agencja posiada własne dane kosztowe, które muszą zostać połączone z danymi medycznymi z Domowej Opieki </w:t>
            </w:r>
            <w:r w:rsidRPr="001941B0">
              <w:rPr>
                <w:rFonts w:cs="Calibri"/>
                <w:iCs/>
                <w:sz w:val="20"/>
                <w:szCs w:val="20"/>
              </w:rPr>
              <w:lastRenderedPageBreak/>
              <w:t>Medycznej, aby obliczyć efektywność kosztową. Wymaga to zagwarantowania prawnego dostępu do mechanizmu mapowania tożsamości pacjenta między systemami Bez gwarancji mapowania identyfikatorów, dane z  Systemu Domowej Opieki Medycznej  nie da się połączyć z danymi o kosztach leczenia w systemach Agencji. W efekcie Agencja nie będzie w stanie zrealizować zadania wyceny świadczeń telemedycznych w oparciu o ich rzeczywistą efektywność.</w:t>
            </w:r>
            <w:r w:rsidRPr="001941B0">
              <w:rPr>
                <w:rFonts w:cs="Calibri"/>
                <w:i/>
                <w:iCs/>
                <w:sz w:val="20"/>
                <w:szCs w:val="20"/>
              </w:rPr>
              <w:t xml:space="preserve"> </w:t>
            </w:r>
          </w:p>
        </w:tc>
        <w:tc>
          <w:tcPr>
            <w:tcW w:w="2855" w:type="dxa"/>
            <w:shd w:val="clear" w:color="auto" w:fill="FFFFFF" w:themeFill="background1"/>
          </w:tcPr>
          <w:p w14:paraId="1FE42290" w14:textId="2E61C925" w:rsidR="00306E53" w:rsidRPr="001941B0" w:rsidRDefault="4FDB2654"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388BBC15" w14:textId="0EAEDC08" w:rsidR="00306E53" w:rsidRPr="001941B0" w:rsidRDefault="4FDB2654" w:rsidP="006E0CB2">
            <w:pPr>
              <w:autoSpaceDE w:val="0"/>
              <w:autoSpaceDN w:val="0"/>
              <w:adjustRightInd w:val="0"/>
              <w:spacing w:after="0" w:line="240" w:lineRule="auto"/>
              <w:rPr>
                <w:sz w:val="20"/>
                <w:szCs w:val="20"/>
              </w:rPr>
            </w:pPr>
            <w:r w:rsidRPr="001941B0">
              <w:rPr>
                <w:sz w:val="20"/>
                <w:szCs w:val="20"/>
              </w:rPr>
              <w:t xml:space="preserve">Możliwość udostępniania danych została </w:t>
            </w:r>
            <w:r w:rsidR="00D1620A" w:rsidRPr="001941B0">
              <w:rPr>
                <w:sz w:val="20"/>
                <w:szCs w:val="20"/>
              </w:rPr>
              <w:t xml:space="preserve">już </w:t>
            </w:r>
            <w:r w:rsidRPr="001941B0">
              <w:rPr>
                <w:sz w:val="20"/>
                <w:szCs w:val="20"/>
              </w:rPr>
              <w:t>zabezpieczona w projektowanej ustawie</w:t>
            </w:r>
            <w:r w:rsidR="00A43E10" w:rsidRPr="001941B0">
              <w:rPr>
                <w:sz w:val="20"/>
                <w:szCs w:val="20"/>
              </w:rPr>
              <w:t>.</w:t>
            </w:r>
          </w:p>
        </w:tc>
      </w:tr>
      <w:tr w:rsidR="00FC7212" w:rsidRPr="001941B0" w14:paraId="60DFCCA4" w14:textId="77777777" w:rsidTr="7139DBB9">
        <w:tc>
          <w:tcPr>
            <w:tcW w:w="1125" w:type="dxa"/>
            <w:shd w:val="clear" w:color="auto" w:fill="FFFFFF" w:themeFill="background1"/>
          </w:tcPr>
          <w:p w14:paraId="7427D7F1"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7942C3E" w14:textId="0C6B35BF"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4A720B62" w14:textId="0B6B455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7D50EBD5"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u w:val="single"/>
              </w:rPr>
              <w:t>w art. 5 pkt 9 projektu ustawy dotyczącym zmian w ustawie z dnia 28 kwietnia 2011 r. o systemie</w:t>
            </w:r>
            <w:r w:rsidRPr="001941B0">
              <w:rPr>
                <w:rFonts w:cs="Calibri"/>
                <w:b/>
                <w:bCs/>
                <w:iCs/>
                <w:sz w:val="20"/>
                <w:szCs w:val="20"/>
              </w:rPr>
              <w:t xml:space="preserve"> </w:t>
            </w:r>
            <w:r w:rsidRPr="001941B0">
              <w:rPr>
                <w:rFonts w:cs="Calibri"/>
                <w:b/>
                <w:bCs/>
                <w:iCs/>
                <w:sz w:val="20"/>
                <w:szCs w:val="20"/>
                <w:u w:val="single"/>
              </w:rPr>
              <w:t>informacji w ochronie zdrowia (Dz. U. z 2025 r. poz. 302, 779, 1537 i 1705) w art. 11d:</w:t>
            </w:r>
            <w:r w:rsidRPr="001941B0">
              <w:rPr>
                <w:rFonts w:cs="Calibri"/>
                <w:b/>
                <w:bCs/>
                <w:iCs/>
                <w:sz w:val="20"/>
                <w:szCs w:val="20"/>
              </w:rPr>
              <w:t xml:space="preserve"> </w:t>
            </w:r>
          </w:p>
          <w:p w14:paraId="1E46B1E5" w14:textId="66844F2F"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rPr>
              <w:t xml:space="preserve">a) ust. 1 otrzymuje brzmienie: </w:t>
            </w:r>
          </w:p>
          <w:p w14:paraId="7A79C4DE" w14:textId="7CDEBA74"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 xml:space="preserve">„1. System e-Konsylium stanowi moduł SIM umożliwiający przeprowadzanie na wniosek usługodawcy udzielającego świadczeń finansowanych ze środków publicznych konsultacji medycznych z innymi usługodawcami, za pośrednictwem systemów teleinformatycznych lub systemów łączności , w celu orzekania o stanie zdrowia usługobiorcy w ramach udzielania mu świadczeń opieki zdrowotnej przez wnioskującego usługodawcę </w:t>
            </w:r>
            <w:r w:rsidRPr="001941B0">
              <w:rPr>
                <w:rFonts w:cs="Calibri"/>
                <w:b/>
                <w:bCs/>
                <w:i/>
                <w:iCs/>
                <w:sz w:val="20"/>
                <w:szCs w:val="20"/>
              </w:rPr>
              <w:t>oraz gromadzenia danych umożliwiających ocenę efektywności klinicznej i kosztowej realizowanych konsultacji.”;</w:t>
            </w:r>
            <w:r w:rsidRPr="001941B0">
              <w:rPr>
                <w:rFonts w:cs="Calibri"/>
                <w:i/>
                <w:iCs/>
                <w:sz w:val="20"/>
                <w:szCs w:val="20"/>
              </w:rPr>
              <w:t xml:space="preserve"> </w:t>
            </w:r>
          </w:p>
          <w:p w14:paraId="2499B290" w14:textId="77777777" w:rsidR="00306E53" w:rsidRPr="001941B0" w:rsidRDefault="00306E53" w:rsidP="006E0CB2">
            <w:pPr>
              <w:autoSpaceDE w:val="0"/>
              <w:autoSpaceDN w:val="0"/>
              <w:adjustRightInd w:val="0"/>
              <w:spacing w:after="0" w:line="240" w:lineRule="auto"/>
              <w:rPr>
                <w:rFonts w:cs="Calibri"/>
                <w:iCs/>
                <w:sz w:val="20"/>
                <w:szCs w:val="20"/>
                <w:u w:val="single"/>
              </w:rPr>
            </w:pPr>
            <w:r w:rsidRPr="001941B0">
              <w:rPr>
                <w:rFonts w:cs="Calibri"/>
                <w:iCs/>
                <w:sz w:val="20"/>
                <w:szCs w:val="20"/>
                <w:u w:val="single"/>
              </w:rPr>
              <w:t>Uzasadnienie</w:t>
            </w:r>
            <w:r w:rsidRPr="001941B0">
              <w:rPr>
                <w:rFonts w:cs="Calibri"/>
                <w:iCs/>
                <w:sz w:val="20"/>
                <w:szCs w:val="20"/>
              </w:rPr>
              <w:t xml:space="preserve"> </w:t>
            </w:r>
          </w:p>
          <w:p w14:paraId="142B85AC" w14:textId="5517D7E9"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 xml:space="preserve">Agencja wnosi o uzupełnienie definicji celu Systemu e-Konsylium  poprzez dodanie frazy: „oraz gromadzenia danych umożliwiających ocenę efektywności klinicznej i kosztowej realizowanych konsultacji”. System e-Konsylium nie powinien być projektowany wyłącznie jako „komunikator” dla lekarzy. Z perspektywy płatnika i Agencji  jest to nowa procedura medyczna, której skuteczność musimy mierzyć. Zdefiniowanie celu analitycznego w ustawie wymusi na dostawcy systemu wdrożenie mechanizmów rejestrujących ustrukturyzowany wynik konsultacji (np. kod decyzji, zmiana diagnozy), a nie tylko zapisanie jej przebiegu w formie pliku tekstowego lub audio, co uniemożliwiłoby automatyczną analizę efektywności. Bez tego przpisu otrzymamy dane </w:t>
            </w:r>
            <w:r w:rsidRPr="001941B0">
              <w:rPr>
                <w:rFonts w:cs="Calibri"/>
                <w:iCs/>
                <w:sz w:val="20"/>
                <w:szCs w:val="20"/>
              </w:rPr>
              <w:lastRenderedPageBreak/>
              <w:t>nieustrukturyzowane (np. skany notatek, nagrania audio), które są bezużyteczne analitycznie bez zaawansowanych systemów NLP.</w:t>
            </w:r>
          </w:p>
        </w:tc>
        <w:tc>
          <w:tcPr>
            <w:tcW w:w="2855" w:type="dxa"/>
            <w:shd w:val="clear" w:color="auto" w:fill="FFFFFF" w:themeFill="background1"/>
          </w:tcPr>
          <w:p w14:paraId="5D7BDCF1" w14:textId="706B4B0D" w:rsidR="00306E53" w:rsidRPr="001941B0" w:rsidRDefault="7058FD2F" w:rsidP="006E0CB2">
            <w:pPr>
              <w:autoSpaceDE w:val="0"/>
              <w:autoSpaceDN w:val="0"/>
              <w:adjustRightInd w:val="0"/>
              <w:spacing w:after="0" w:line="240" w:lineRule="auto"/>
              <w:rPr>
                <w:sz w:val="20"/>
                <w:szCs w:val="20"/>
              </w:rPr>
            </w:pPr>
            <w:r w:rsidRPr="001941B0">
              <w:rPr>
                <w:b/>
                <w:sz w:val="20"/>
                <w:szCs w:val="20"/>
              </w:rPr>
              <w:lastRenderedPageBreak/>
              <w:t>Uwaga uwzględniona</w:t>
            </w:r>
            <w:r w:rsidRPr="001941B0">
              <w:rPr>
                <w:sz w:val="20"/>
                <w:szCs w:val="20"/>
              </w:rPr>
              <w:t>.</w:t>
            </w:r>
          </w:p>
          <w:p w14:paraId="64B3CD81" w14:textId="4EE7DC87" w:rsidR="00306E53" w:rsidRPr="001941B0" w:rsidRDefault="00306E53" w:rsidP="006E0CB2">
            <w:pPr>
              <w:autoSpaceDE w:val="0"/>
              <w:autoSpaceDN w:val="0"/>
              <w:adjustRightInd w:val="0"/>
              <w:spacing w:after="0" w:line="240" w:lineRule="auto"/>
              <w:rPr>
                <w:sz w:val="20"/>
                <w:szCs w:val="20"/>
              </w:rPr>
            </w:pPr>
          </w:p>
        </w:tc>
      </w:tr>
      <w:tr w:rsidR="00FC7212" w:rsidRPr="001941B0" w14:paraId="18751080" w14:textId="77777777" w:rsidTr="7139DBB9">
        <w:tc>
          <w:tcPr>
            <w:tcW w:w="1125" w:type="dxa"/>
            <w:shd w:val="clear" w:color="auto" w:fill="FFFFFF" w:themeFill="background1"/>
          </w:tcPr>
          <w:p w14:paraId="484BE984"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34A3E1A" w14:textId="7D08106C"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723D3A6B" w14:textId="59409893"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67B82C2E"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u w:val="single"/>
              </w:rPr>
              <w:t>w art. 5 pkt 9 projektu ustawy dotyczącym zmian w ustawie z dnia 28 kwietnia 2011 r. o systemie</w:t>
            </w:r>
            <w:r w:rsidRPr="001941B0">
              <w:rPr>
                <w:rFonts w:cs="Calibri"/>
                <w:b/>
                <w:bCs/>
                <w:iCs/>
                <w:sz w:val="20"/>
                <w:szCs w:val="20"/>
              </w:rPr>
              <w:t xml:space="preserve"> </w:t>
            </w:r>
            <w:r w:rsidRPr="001941B0">
              <w:rPr>
                <w:rFonts w:cs="Calibri"/>
                <w:b/>
                <w:bCs/>
                <w:iCs/>
                <w:sz w:val="20"/>
                <w:szCs w:val="20"/>
                <w:u w:val="single"/>
              </w:rPr>
              <w:t>informacji w ochronie zdrowia (Dz. U. z 2025 r. poz. 302, 779, 1537 i 1705) w art. 11d:</w:t>
            </w:r>
            <w:r w:rsidRPr="001941B0">
              <w:rPr>
                <w:rFonts w:cs="Calibri"/>
                <w:b/>
                <w:bCs/>
                <w:iCs/>
                <w:sz w:val="20"/>
                <w:szCs w:val="20"/>
              </w:rPr>
              <w:t xml:space="preserve"> </w:t>
            </w:r>
          </w:p>
          <w:p w14:paraId="11D3CAED" w14:textId="77777777"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b/>
                <w:iCs/>
                <w:sz w:val="20"/>
                <w:szCs w:val="20"/>
              </w:rPr>
              <w:t xml:space="preserve">b) ust. 9 otrzymuje brzmienie: </w:t>
            </w:r>
          </w:p>
          <w:p w14:paraId="36A69DC8" w14:textId="21E18E8C"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„9. Minister właściwy do spraw zdrowia udostępnia  dane gromadzone w systemie e-Konsylium: </w:t>
            </w:r>
          </w:p>
          <w:p w14:paraId="30FFC684" w14:textId="77777777" w:rsidR="00306E53" w:rsidRPr="001941B0" w:rsidRDefault="00306E53" w:rsidP="006E0CB2">
            <w:pPr>
              <w:numPr>
                <w:ilvl w:val="0"/>
                <w:numId w:val="17"/>
              </w:numPr>
              <w:autoSpaceDE w:val="0"/>
              <w:autoSpaceDN w:val="0"/>
              <w:adjustRightInd w:val="0"/>
              <w:spacing w:after="0" w:line="240" w:lineRule="auto"/>
              <w:rPr>
                <w:rFonts w:cs="Calibri"/>
                <w:iCs/>
                <w:sz w:val="20"/>
                <w:szCs w:val="20"/>
              </w:rPr>
            </w:pPr>
            <w:r w:rsidRPr="001941B0">
              <w:rPr>
                <w:rFonts w:cs="Calibri"/>
                <w:i/>
                <w:iCs/>
                <w:sz w:val="20"/>
                <w:szCs w:val="20"/>
              </w:rPr>
              <w:t xml:space="preserve">Narodowemu Funduszowi Zdrowia, </w:t>
            </w:r>
          </w:p>
          <w:p w14:paraId="5F6F8D05" w14:textId="77777777" w:rsidR="00306E53" w:rsidRPr="001941B0" w:rsidRDefault="00306E53" w:rsidP="006E0CB2">
            <w:pPr>
              <w:numPr>
                <w:ilvl w:val="0"/>
                <w:numId w:val="17"/>
              </w:numPr>
              <w:autoSpaceDE w:val="0"/>
              <w:autoSpaceDN w:val="0"/>
              <w:adjustRightInd w:val="0"/>
              <w:spacing w:after="0" w:line="240" w:lineRule="auto"/>
              <w:rPr>
                <w:rFonts w:cs="Calibri"/>
                <w:iCs/>
                <w:sz w:val="20"/>
                <w:szCs w:val="20"/>
              </w:rPr>
            </w:pPr>
            <w:r w:rsidRPr="001941B0">
              <w:rPr>
                <w:rFonts w:cs="Calibri"/>
                <w:i/>
                <w:iCs/>
                <w:sz w:val="20"/>
                <w:szCs w:val="20"/>
              </w:rPr>
              <w:t xml:space="preserve">Agencji Badań Medycznych, </w:t>
            </w:r>
          </w:p>
          <w:p w14:paraId="5581D534" w14:textId="77777777" w:rsidR="00306E53" w:rsidRPr="001941B0" w:rsidRDefault="00306E53" w:rsidP="006E0CB2">
            <w:pPr>
              <w:numPr>
                <w:ilvl w:val="0"/>
                <w:numId w:val="17"/>
              </w:numPr>
              <w:autoSpaceDE w:val="0"/>
              <w:autoSpaceDN w:val="0"/>
              <w:adjustRightInd w:val="0"/>
              <w:spacing w:after="0" w:line="240" w:lineRule="auto"/>
              <w:rPr>
                <w:rFonts w:cs="Calibri"/>
                <w:iCs/>
                <w:sz w:val="20"/>
                <w:szCs w:val="20"/>
              </w:rPr>
            </w:pPr>
            <w:r w:rsidRPr="001941B0">
              <w:rPr>
                <w:rFonts w:cs="Calibri"/>
                <w:i/>
                <w:iCs/>
                <w:sz w:val="20"/>
                <w:szCs w:val="20"/>
              </w:rPr>
              <w:t xml:space="preserve">Agencji Oceny Technologii Medycznych i Taryfikacji </w:t>
            </w:r>
          </w:p>
          <w:p w14:paraId="70DD044E" w14:textId="77777777"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
                <w:iCs/>
                <w:sz w:val="20"/>
                <w:szCs w:val="20"/>
              </w:rPr>
              <w:t xml:space="preserve">– w celu monitorowania polityki zdrowotnej państwa oraz podnoszenia jakości i dostępności świadczeń opieki zdrowotnej.”; </w:t>
            </w:r>
          </w:p>
          <w:p w14:paraId="2DFEF02F" w14:textId="77777777" w:rsidR="00306E53" w:rsidRPr="001941B0" w:rsidRDefault="00306E53" w:rsidP="006E0CB2">
            <w:pPr>
              <w:autoSpaceDE w:val="0"/>
              <w:autoSpaceDN w:val="0"/>
              <w:adjustRightInd w:val="0"/>
              <w:spacing w:after="0" w:line="240" w:lineRule="auto"/>
              <w:rPr>
                <w:rFonts w:cs="Calibri"/>
                <w:iCs/>
                <w:sz w:val="20"/>
                <w:szCs w:val="20"/>
                <w:u w:val="single"/>
              </w:rPr>
            </w:pPr>
            <w:r w:rsidRPr="001941B0">
              <w:rPr>
                <w:rFonts w:cs="Calibri"/>
                <w:iCs/>
                <w:sz w:val="20"/>
                <w:szCs w:val="20"/>
                <w:u w:val="single"/>
              </w:rPr>
              <w:t>Uzasadnienie</w:t>
            </w:r>
            <w:r w:rsidRPr="001941B0">
              <w:rPr>
                <w:rFonts w:cs="Calibri"/>
                <w:iCs/>
                <w:sz w:val="20"/>
                <w:szCs w:val="20"/>
              </w:rPr>
              <w:t xml:space="preserve"> </w:t>
            </w:r>
          </w:p>
          <w:p w14:paraId="31F705F2" w14:textId="3860293B" w:rsidR="00306E53" w:rsidRPr="001941B0" w:rsidRDefault="00306E53" w:rsidP="006E0CB2">
            <w:pPr>
              <w:autoSpaceDE w:val="0"/>
              <w:autoSpaceDN w:val="0"/>
              <w:adjustRightInd w:val="0"/>
              <w:spacing w:after="0" w:line="240" w:lineRule="auto"/>
              <w:rPr>
                <w:rFonts w:cs="Calibri"/>
                <w:iCs/>
                <w:sz w:val="20"/>
                <w:szCs w:val="20"/>
              </w:rPr>
            </w:pPr>
            <w:r w:rsidRPr="001941B0">
              <w:rPr>
                <w:rFonts w:cs="Calibri"/>
                <w:iCs/>
                <w:sz w:val="20"/>
                <w:szCs w:val="20"/>
              </w:rPr>
              <w:t>Zasadne jest zastąpienie w przedmiotowym przepisie sformułowania „może udostępnić” sformułowaniem „udostępnia”.</w:t>
            </w:r>
          </w:p>
        </w:tc>
        <w:tc>
          <w:tcPr>
            <w:tcW w:w="2855" w:type="dxa"/>
            <w:shd w:val="clear" w:color="auto" w:fill="FFFFFF" w:themeFill="background1"/>
          </w:tcPr>
          <w:p w14:paraId="4868647F" w14:textId="7D6F34A4" w:rsidR="00306E53" w:rsidRPr="001941B0" w:rsidRDefault="0B119B9C" w:rsidP="006E0CB2">
            <w:pPr>
              <w:autoSpaceDE w:val="0"/>
              <w:autoSpaceDN w:val="0"/>
              <w:adjustRightInd w:val="0"/>
              <w:spacing w:after="0" w:line="240" w:lineRule="auto"/>
              <w:rPr>
                <w:b/>
                <w:sz w:val="20"/>
                <w:szCs w:val="20"/>
              </w:rPr>
            </w:pPr>
            <w:r w:rsidRPr="001941B0">
              <w:rPr>
                <w:b/>
                <w:sz w:val="20"/>
                <w:szCs w:val="20"/>
              </w:rPr>
              <w:t>Uwaga nieuwzględniona</w:t>
            </w:r>
          </w:p>
          <w:p w14:paraId="2A11014C" w14:textId="0F65F2EF" w:rsidR="00306E53" w:rsidRPr="001941B0" w:rsidRDefault="234245E4" w:rsidP="006E0CB2">
            <w:pPr>
              <w:autoSpaceDE w:val="0"/>
              <w:autoSpaceDN w:val="0"/>
              <w:adjustRightInd w:val="0"/>
              <w:spacing w:after="0" w:line="240" w:lineRule="auto"/>
              <w:rPr>
                <w:color w:val="000000" w:themeColor="text1"/>
                <w:sz w:val="20"/>
                <w:szCs w:val="20"/>
              </w:rPr>
            </w:pPr>
            <w:r w:rsidRPr="001941B0">
              <w:rPr>
                <w:color w:val="000000" w:themeColor="text1"/>
                <w:sz w:val="20"/>
                <w:szCs w:val="20"/>
              </w:rPr>
              <w:t>Udostępnianie ma charakter fakultatywny</w:t>
            </w:r>
            <w:r w:rsidR="00B922FA" w:rsidRPr="001941B0">
              <w:rPr>
                <w:color w:val="000000" w:themeColor="text1"/>
                <w:sz w:val="20"/>
                <w:szCs w:val="20"/>
              </w:rPr>
              <w:t>.</w:t>
            </w:r>
          </w:p>
          <w:p w14:paraId="6CABDE1E" w14:textId="5EBDD61A" w:rsidR="00306E53" w:rsidRPr="001941B0" w:rsidRDefault="00306E53" w:rsidP="006E0CB2">
            <w:pPr>
              <w:autoSpaceDE w:val="0"/>
              <w:autoSpaceDN w:val="0"/>
              <w:adjustRightInd w:val="0"/>
              <w:spacing w:after="0" w:line="240" w:lineRule="auto"/>
              <w:rPr>
                <w:sz w:val="20"/>
                <w:szCs w:val="20"/>
              </w:rPr>
            </w:pPr>
          </w:p>
        </w:tc>
      </w:tr>
      <w:tr w:rsidR="00FC7212" w:rsidRPr="001941B0" w14:paraId="3F64CD40" w14:textId="77777777" w:rsidTr="7139DBB9">
        <w:tc>
          <w:tcPr>
            <w:tcW w:w="1125" w:type="dxa"/>
            <w:shd w:val="clear" w:color="auto" w:fill="FFFFFF" w:themeFill="background1"/>
          </w:tcPr>
          <w:p w14:paraId="7C02BA9D"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FBE1FD6" w14:textId="4E080489"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0BD7FF88" w14:textId="14FDDDF4"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174AE15C" w14:textId="77777777" w:rsidR="00306E53" w:rsidRPr="001941B0" w:rsidRDefault="00306E53" w:rsidP="006E0CB2">
            <w:pPr>
              <w:autoSpaceDE w:val="0"/>
              <w:autoSpaceDN w:val="0"/>
              <w:adjustRightInd w:val="0"/>
              <w:spacing w:after="0" w:line="240" w:lineRule="auto"/>
              <w:rPr>
                <w:rFonts w:cs="Calibri"/>
                <w:b/>
                <w:bCs/>
                <w:iCs/>
                <w:sz w:val="20"/>
                <w:szCs w:val="20"/>
              </w:rPr>
            </w:pPr>
            <w:r w:rsidRPr="001941B0">
              <w:rPr>
                <w:rFonts w:cs="Calibri"/>
                <w:b/>
                <w:bCs/>
                <w:iCs/>
                <w:sz w:val="20"/>
                <w:szCs w:val="20"/>
                <w:u w:val="single"/>
              </w:rPr>
              <w:t>w art. 5 pkt 9 projektu ustawy dotyczącym zmian w ustawie z dnia 28 kwietnia 2011 r. o systemie</w:t>
            </w:r>
            <w:r w:rsidRPr="001941B0">
              <w:rPr>
                <w:rFonts w:cs="Calibri"/>
                <w:b/>
                <w:bCs/>
                <w:iCs/>
                <w:sz w:val="20"/>
                <w:szCs w:val="20"/>
              </w:rPr>
              <w:t xml:space="preserve"> </w:t>
            </w:r>
            <w:r w:rsidRPr="001941B0">
              <w:rPr>
                <w:rFonts w:cs="Calibri"/>
                <w:b/>
                <w:bCs/>
                <w:iCs/>
                <w:sz w:val="20"/>
                <w:szCs w:val="20"/>
                <w:u w:val="single"/>
              </w:rPr>
              <w:t>informacji w ochronie zdrowia (Dz. U. z 2025 r. poz. 302, 779, 1537 i 1705) w art. 11d:</w:t>
            </w:r>
            <w:r w:rsidRPr="001941B0">
              <w:rPr>
                <w:rFonts w:cs="Calibri"/>
                <w:b/>
                <w:bCs/>
                <w:iCs/>
                <w:sz w:val="20"/>
                <w:szCs w:val="20"/>
              </w:rPr>
              <w:t xml:space="preserve"> </w:t>
            </w:r>
          </w:p>
          <w:p w14:paraId="36D3ED2D" w14:textId="77777777" w:rsidR="00306E53" w:rsidRPr="001941B0" w:rsidRDefault="00306E53" w:rsidP="006E0CB2">
            <w:pPr>
              <w:autoSpaceDE w:val="0"/>
              <w:autoSpaceDN w:val="0"/>
              <w:adjustRightInd w:val="0"/>
              <w:spacing w:after="0" w:line="240" w:lineRule="auto"/>
              <w:rPr>
                <w:rFonts w:cs="Calibri"/>
                <w:b/>
                <w:bCs/>
                <w:iCs/>
                <w:sz w:val="20"/>
                <w:szCs w:val="20"/>
                <w:u w:val="single"/>
              </w:rPr>
            </w:pPr>
            <w:r w:rsidRPr="001941B0">
              <w:rPr>
                <w:rFonts w:cs="Calibri"/>
                <w:b/>
                <w:bCs/>
                <w:iCs/>
                <w:sz w:val="20"/>
                <w:szCs w:val="20"/>
                <w:u w:val="single"/>
              </w:rPr>
              <w:t xml:space="preserve">c)  po  ust. 9 dodaje się ust. 10 w brzmieniu: </w:t>
            </w:r>
          </w:p>
          <w:p w14:paraId="2F540DC8" w14:textId="1D87BEC8" w:rsidR="00306E53" w:rsidRPr="001941B0" w:rsidRDefault="00306E53" w:rsidP="006E0CB2">
            <w:pPr>
              <w:autoSpaceDE w:val="0"/>
              <w:autoSpaceDN w:val="0"/>
              <w:adjustRightInd w:val="0"/>
              <w:spacing w:after="0" w:line="240" w:lineRule="auto"/>
              <w:rPr>
                <w:rFonts w:cs="Calibri"/>
                <w:i/>
                <w:iCs/>
                <w:sz w:val="20"/>
                <w:szCs w:val="20"/>
              </w:rPr>
            </w:pPr>
            <w:r w:rsidRPr="001941B0">
              <w:rPr>
                <w:rFonts w:cs="Calibri"/>
                <w:i/>
                <w:iCs/>
                <w:sz w:val="20"/>
                <w:szCs w:val="20"/>
              </w:rPr>
              <w:t>„10. Minister właściwy do spraw zdrowia udostępnia Agencji Oceny Technologii Medycznych i Taryfikacji dane gromadzone w systemie e-Konsylium w sposób zautomatyzowany oraz z wykorzystaniem mechanizmu technicznego umożliwiającego bezpieczne powiązanie tych peseudonimizowanych  danych z danymi przetwarzanymi w Agencji Oceny Technologii Medycznych i Taryfikacji, w celu realizacji  zadań określonych w art. 31n pkt 1-3d</w:t>
            </w:r>
            <w:hyperlink r:id="rId14" w:anchor="/document/17127716">
              <w:r w:rsidRPr="001941B0">
                <w:rPr>
                  <w:rStyle w:val="Hipercze"/>
                  <w:rFonts w:cs="Calibri"/>
                  <w:i/>
                  <w:iCs/>
                  <w:sz w:val="20"/>
                  <w:szCs w:val="20"/>
                  <w:u w:val="none"/>
                </w:rPr>
                <w:t xml:space="preserve"> </w:t>
              </w:r>
            </w:hyperlink>
            <w:r w:rsidRPr="001941B0">
              <w:rPr>
                <w:rFonts w:cs="Calibri"/>
                <w:i/>
                <w:iCs/>
                <w:sz w:val="20"/>
                <w:szCs w:val="20"/>
              </w:rPr>
              <w:t xml:space="preserve">i 4a-5 ustawy z dnia 27 sierpnia 2004 r. o świadczeniach opieki zdrowotnej finansowanych ze środków publicznych oraz w celu dokonywania analiz na rzecz systemu ochrony zdrowia.”; </w:t>
            </w:r>
          </w:p>
          <w:p w14:paraId="3EC1D530" w14:textId="77777777" w:rsidR="00306E53" w:rsidRPr="001941B0" w:rsidRDefault="00306E53" w:rsidP="006E0CB2">
            <w:pPr>
              <w:autoSpaceDE w:val="0"/>
              <w:autoSpaceDN w:val="0"/>
              <w:adjustRightInd w:val="0"/>
              <w:spacing w:after="0" w:line="240" w:lineRule="auto"/>
              <w:rPr>
                <w:rFonts w:cs="Calibri"/>
                <w:iCs/>
                <w:sz w:val="20"/>
                <w:szCs w:val="20"/>
                <w:u w:val="single"/>
              </w:rPr>
            </w:pPr>
            <w:r w:rsidRPr="001941B0">
              <w:rPr>
                <w:rFonts w:cs="Calibri"/>
                <w:iCs/>
                <w:sz w:val="20"/>
                <w:szCs w:val="20"/>
                <w:u w:val="single"/>
              </w:rPr>
              <w:lastRenderedPageBreak/>
              <w:t xml:space="preserve">Uzasadnienie </w:t>
            </w:r>
          </w:p>
          <w:p w14:paraId="7872AD04" w14:textId="67293158" w:rsidR="00306E53" w:rsidRPr="001941B0" w:rsidRDefault="00306E53" w:rsidP="006E0CB2">
            <w:pPr>
              <w:autoSpaceDE w:val="0"/>
              <w:autoSpaceDN w:val="0"/>
              <w:adjustRightInd w:val="0"/>
              <w:spacing w:after="0" w:line="240" w:lineRule="auto"/>
              <w:rPr>
                <w:rFonts w:cs="Calibri"/>
                <w:b/>
                <w:bCs/>
                <w:iCs/>
                <w:sz w:val="20"/>
                <w:szCs w:val="20"/>
                <w:u w:val="single"/>
              </w:rPr>
            </w:pPr>
            <w:r w:rsidRPr="001941B0">
              <w:rPr>
                <w:rFonts w:cs="Calibri"/>
                <w:iCs/>
                <w:sz w:val="20"/>
                <w:szCs w:val="20"/>
              </w:rPr>
              <w:t>Zasadne jest dodanie przepisu, na podstawie którego Agencja uzyska prawo do otrzymywania danych z systemu e-Konsylium w celu realizacji zadań ustawowych Agencji  określonych w art. 31n pkt 1-3d i 4a-5 ustawy z dnia 27 sierpnia 2004 r. o świadczeniach opieki zdrowotnej finansowanych ze środków publicznych. Dane te są również niezbędne Agencji w celu dokonywania analiz na rzecz systemu ochrony zdrowia, jako instytucji powołanej do oceny technologii medycznych i dokonywania wyceny świadczeń opieki zdrowotnej finansowanych ze środków publicznych. Dla Agencji kluczowa jest kwestia interoperacyjności (mapowania): aby ocenić sensowność e-Konsylium, Agencja musi połączyć fakt odbycia konsultacji (dane gromadzone w e-Konsylium) z późniejszymi losami pacjenta i kosztami jego leczenia (dane gromadzone w Agencji). Bez wspólnego identyfikatora lub usługi mapowania te dwa zbiory danych pozostaną rozłączne. Zablokowanie możliwości analizy ścieżek pacjenta (</w:t>
            </w:r>
            <w:r w:rsidRPr="001941B0">
              <w:rPr>
                <w:rFonts w:cs="Calibri"/>
                <w:i/>
                <w:iCs/>
                <w:sz w:val="20"/>
                <w:szCs w:val="20"/>
              </w:rPr>
              <w:t>Patient Pathway Analysis</w:t>
            </w:r>
            <w:r w:rsidRPr="001941B0">
              <w:rPr>
                <w:rFonts w:cs="Calibri"/>
                <w:iCs/>
                <w:sz w:val="20"/>
                <w:szCs w:val="20"/>
              </w:rPr>
              <w:t>). Agencja nie będzie w stanie odpowiedzieć na pytanie: „Czy pacjenci po e-konsylium generują niższe koszty leczenia w perspektywie 12 miesięcy?”, ponieważ nie będzie technicznej możliwości połączenia rekordu konsultacji z rekordami kosztowymi w systemach wewnętrznych Agencji.</w:t>
            </w:r>
          </w:p>
        </w:tc>
        <w:tc>
          <w:tcPr>
            <w:tcW w:w="2855" w:type="dxa"/>
            <w:shd w:val="clear" w:color="auto" w:fill="FFFFFF" w:themeFill="background1"/>
          </w:tcPr>
          <w:p w14:paraId="6012D066" w14:textId="77777777" w:rsidR="006465CC" w:rsidRPr="001941B0" w:rsidRDefault="7B28107C" w:rsidP="006E0CB2">
            <w:pPr>
              <w:autoSpaceDE w:val="0"/>
              <w:autoSpaceDN w:val="0"/>
              <w:adjustRightInd w:val="0"/>
              <w:spacing w:after="0" w:line="240" w:lineRule="auto"/>
              <w:rPr>
                <w:sz w:val="20"/>
                <w:szCs w:val="20"/>
              </w:rPr>
            </w:pPr>
            <w:r w:rsidRPr="001941B0">
              <w:rPr>
                <w:b/>
                <w:sz w:val="20"/>
                <w:szCs w:val="20"/>
              </w:rPr>
              <w:lastRenderedPageBreak/>
              <w:t>Uwaga nieuwzględniona</w:t>
            </w:r>
            <w:r w:rsidRPr="001941B0">
              <w:rPr>
                <w:sz w:val="20"/>
                <w:szCs w:val="20"/>
              </w:rPr>
              <w:t xml:space="preserve"> </w:t>
            </w:r>
          </w:p>
          <w:p w14:paraId="213E16D7" w14:textId="24C97824" w:rsidR="00306E53" w:rsidRPr="001941B0" w:rsidRDefault="7B28107C" w:rsidP="006E0CB2">
            <w:pPr>
              <w:autoSpaceDE w:val="0"/>
              <w:autoSpaceDN w:val="0"/>
              <w:adjustRightInd w:val="0"/>
              <w:spacing w:after="0" w:line="240" w:lineRule="auto"/>
              <w:rPr>
                <w:sz w:val="20"/>
                <w:szCs w:val="20"/>
              </w:rPr>
            </w:pPr>
            <w:r w:rsidRPr="001941B0">
              <w:rPr>
                <w:sz w:val="20"/>
                <w:szCs w:val="20"/>
              </w:rPr>
              <w:t xml:space="preserve">Możliwość udostępniania danych została </w:t>
            </w:r>
            <w:r w:rsidR="00D1620A" w:rsidRPr="001941B0">
              <w:rPr>
                <w:sz w:val="20"/>
                <w:szCs w:val="20"/>
              </w:rPr>
              <w:t xml:space="preserve">już </w:t>
            </w:r>
            <w:r w:rsidRPr="001941B0">
              <w:rPr>
                <w:sz w:val="20"/>
                <w:szCs w:val="20"/>
              </w:rPr>
              <w:t>zabezpieczona w projektowanej ustawie</w:t>
            </w:r>
            <w:r w:rsidR="00B922FA" w:rsidRPr="001941B0">
              <w:rPr>
                <w:sz w:val="20"/>
                <w:szCs w:val="20"/>
              </w:rPr>
              <w:t>.</w:t>
            </w:r>
          </w:p>
          <w:p w14:paraId="62645D86" w14:textId="725B4597" w:rsidR="00306E53" w:rsidRPr="001941B0" w:rsidRDefault="00306E53" w:rsidP="006E0CB2">
            <w:pPr>
              <w:autoSpaceDE w:val="0"/>
              <w:autoSpaceDN w:val="0"/>
              <w:adjustRightInd w:val="0"/>
              <w:spacing w:after="0" w:line="240" w:lineRule="auto"/>
              <w:rPr>
                <w:sz w:val="20"/>
                <w:szCs w:val="20"/>
              </w:rPr>
            </w:pPr>
          </w:p>
        </w:tc>
      </w:tr>
      <w:tr w:rsidR="00FC7212" w:rsidRPr="001941B0" w14:paraId="36170F02" w14:textId="77777777" w:rsidTr="7139DBB9">
        <w:tc>
          <w:tcPr>
            <w:tcW w:w="1125" w:type="dxa"/>
            <w:shd w:val="clear" w:color="auto" w:fill="FFFFFF" w:themeFill="background1"/>
          </w:tcPr>
          <w:p w14:paraId="5F27B78F"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1B9E1BD" w14:textId="2918DC46"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2315BBA5" w14:textId="1083A819"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2B10AF63"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Brak jednoznacznego osadzenia SDOM w KSK/e</w:t>
            </w:r>
            <w:r w:rsidRPr="001941B0">
              <w:rPr>
                <w:rFonts w:ascii="Cambria Math" w:hAnsi="Cambria Math" w:cs="Cambria Math"/>
                <w:bCs/>
                <w:iCs/>
                <w:sz w:val="20"/>
                <w:szCs w:val="20"/>
              </w:rPr>
              <w:t>‑</w:t>
            </w:r>
            <w:r w:rsidRPr="001941B0">
              <w:rPr>
                <w:rFonts w:cs="Calibri"/>
                <w:bCs/>
                <w:iCs/>
                <w:sz w:val="20"/>
                <w:szCs w:val="20"/>
              </w:rPr>
              <w:t>KoK dla pacjent</w:t>
            </w:r>
            <w:r w:rsidRPr="001941B0">
              <w:rPr>
                <w:rFonts w:cs="Aptos"/>
                <w:bCs/>
                <w:iCs/>
                <w:sz w:val="20"/>
                <w:szCs w:val="20"/>
              </w:rPr>
              <w:t>ó</w:t>
            </w:r>
            <w:r w:rsidRPr="001941B0">
              <w:rPr>
                <w:rFonts w:cs="Calibri"/>
                <w:bCs/>
                <w:iCs/>
                <w:sz w:val="20"/>
                <w:szCs w:val="20"/>
              </w:rPr>
              <w:t xml:space="preserve">w kardiologicznych </w:t>
            </w:r>
            <w:r w:rsidRPr="001941B0">
              <w:rPr>
                <w:rFonts w:cs="Aptos"/>
                <w:bCs/>
                <w:iCs/>
                <w:sz w:val="20"/>
                <w:szCs w:val="20"/>
              </w:rPr>
              <w:t>–</w:t>
            </w:r>
            <w:r w:rsidRPr="001941B0">
              <w:rPr>
                <w:rFonts w:cs="Calibri"/>
                <w:bCs/>
                <w:iCs/>
                <w:sz w:val="20"/>
                <w:szCs w:val="20"/>
              </w:rPr>
              <w:t xml:space="preserve"> ryzyko powstania r</w:t>
            </w:r>
            <w:r w:rsidRPr="001941B0">
              <w:rPr>
                <w:rFonts w:cs="Aptos"/>
                <w:bCs/>
                <w:iCs/>
                <w:sz w:val="20"/>
                <w:szCs w:val="20"/>
              </w:rPr>
              <w:t>ó</w:t>
            </w:r>
            <w:r w:rsidRPr="001941B0">
              <w:rPr>
                <w:rFonts w:cs="Calibri"/>
                <w:bCs/>
                <w:iCs/>
                <w:sz w:val="20"/>
                <w:szCs w:val="20"/>
              </w:rPr>
              <w:t>wnoleg</w:t>
            </w:r>
            <w:r w:rsidRPr="001941B0">
              <w:rPr>
                <w:rFonts w:cs="Aptos"/>
                <w:bCs/>
                <w:iCs/>
                <w:sz w:val="20"/>
                <w:szCs w:val="20"/>
              </w:rPr>
              <w:t>ł</w:t>
            </w:r>
            <w:r w:rsidRPr="001941B0">
              <w:rPr>
                <w:rFonts w:cs="Calibri"/>
                <w:bCs/>
                <w:iCs/>
                <w:sz w:val="20"/>
                <w:szCs w:val="20"/>
              </w:rPr>
              <w:t xml:space="preserve">ego </w:t>
            </w:r>
            <w:r w:rsidRPr="001941B0">
              <w:rPr>
                <w:rFonts w:cs="Aptos"/>
                <w:bCs/>
                <w:iCs/>
                <w:sz w:val="20"/>
                <w:szCs w:val="20"/>
              </w:rPr>
              <w:t>„</w:t>
            </w:r>
            <w:r w:rsidRPr="001941B0">
              <w:rPr>
                <w:rFonts w:cs="Calibri"/>
                <w:bCs/>
                <w:iCs/>
                <w:sz w:val="20"/>
                <w:szCs w:val="20"/>
              </w:rPr>
              <w:t>kana</w:t>
            </w:r>
            <w:r w:rsidRPr="001941B0">
              <w:rPr>
                <w:rFonts w:cs="Aptos"/>
                <w:bCs/>
                <w:iCs/>
                <w:sz w:val="20"/>
                <w:szCs w:val="20"/>
              </w:rPr>
              <w:t>ł</w:t>
            </w:r>
            <w:r w:rsidRPr="001941B0">
              <w:rPr>
                <w:rFonts w:cs="Calibri"/>
                <w:bCs/>
                <w:iCs/>
                <w:sz w:val="20"/>
                <w:szCs w:val="20"/>
              </w:rPr>
              <w:t>u danych</w:t>
            </w:r>
            <w:r w:rsidRPr="001941B0">
              <w:rPr>
                <w:rFonts w:cs="Aptos"/>
                <w:bCs/>
                <w:iCs/>
                <w:sz w:val="20"/>
                <w:szCs w:val="20"/>
              </w:rPr>
              <w:t>”</w:t>
            </w:r>
            <w:r w:rsidRPr="001941B0">
              <w:rPr>
                <w:rFonts w:cs="Calibri"/>
                <w:bCs/>
                <w:iCs/>
                <w:sz w:val="20"/>
                <w:szCs w:val="20"/>
              </w:rPr>
              <w:t xml:space="preserve"> poza </w:t>
            </w:r>
            <w:r w:rsidRPr="001941B0">
              <w:rPr>
                <w:rFonts w:cs="Aptos"/>
                <w:bCs/>
                <w:iCs/>
                <w:sz w:val="20"/>
                <w:szCs w:val="20"/>
              </w:rPr>
              <w:t>ś</w:t>
            </w:r>
            <w:r w:rsidRPr="001941B0">
              <w:rPr>
                <w:rFonts w:cs="Calibri"/>
                <w:bCs/>
                <w:iCs/>
                <w:sz w:val="20"/>
                <w:szCs w:val="20"/>
              </w:rPr>
              <w:t>cie</w:t>
            </w:r>
            <w:r w:rsidRPr="001941B0">
              <w:rPr>
                <w:rFonts w:cs="Aptos"/>
                <w:bCs/>
                <w:iCs/>
                <w:sz w:val="20"/>
                <w:szCs w:val="20"/>
              </w:rPr>
              <w:t>ż</w:t>
            </w:r>
            <w:r w:rsidRPr="001941B0">
              <w:rPr>
                <w:rFonts w:cs="Calibri"/>
                <w:bCs/>
                <w:iCs/>
                <w:sz w:val="20"/>
                <w:szCs w:val="20"/>
              </w:rPr>
              <w:t>k</w:t>
            </w:r>
            <w:r w:rsidRPr="001941B0">
              <w:rPr>
                <w:rFonts w:cs="Aptos"/>
                <w:bCs/>
                <w:iCs/>
                <w:sz w:val="20"/>
                <w:szCs w:val="20"/>
              </w:rPr>
              <w:t>ą</w:t>
            </w:r>
            <w:r w:rsidRPr="001941B0">
              <w:rPr>
                <w:rFonts w:cs="Calibri"/>
                <w:bCs/>
                <w:iCs/>
                <w:sz w:val="20"/>
                <w:szCs w:val="20"/>
              </w:rPr>
              <w:t xml:space="preserve"> opieki.</w:t>
            </w:r>
          </w:p>
          <w:p w14:paraId="3A254248"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426C8B6A"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Telemonitoring w kardiologii (np. niewydolność serca) jest skuteczny tylko wtedy, gdy jest elementem procesu klinicznego (triaż, eskalacja, decyzja terapeutyczna) i ma przypisaną odpowiedzialność zespołu. Bez powiązania SDOM z e</w:t>
            </w:r>
            <w:r w:rsidRPr="001941B0">
              <w:rPr>
                <w:rFonts w:ascii="Cambria Math" w:hAnsi="Cambria Math" w:cs="Cambria Math"/>
                <w:bCs/>
                <w:iCs/>
                <w:sz w:val="20"/>
                <w:szCs w:val="20"/>
              </w:rPr>
              <w:t>‑</w:t>
            </w:r>
            <w:r w:rsidRPr="001941B0">
              <w:rPr>
                <w:rFonts w:cs="Calibri"/>
                <w:bCs/>
                <w:iCs/>
                <w:sz w:val="20"/>
                <w:szCs w:val="20"/>
              </w:rPr>
              <w:t>KoK/USP ro</w:t>
            </w:r>
            <w:r w:rsidRPr="001941B0">
              <w:rPr>
                <w:rFonts w:cs="Aptos"/>
                <w:bCs/>
                <w:iCs/>
                <w:sz w:val="20"/>
                <w:szCs w:val="20"/>
              </w:rPr>
              <w:t>ś</w:t>
            </w:r>
            <w:r w:rsidRPr="001941B0">
              <w:rPr>
                <w:rFonts w:cs="Calibri"/>
                <w:bCs/>
                <w:iCs/>
                <w:sz w:val="20"/>
                <w:szCs w:val="20"/>
              </w:rPr>
              <w:t>nie ryzyko op</w:t>
            </w:r>
            <w:r w:rsidRPr="001941B0">
              <w:rPr>
                <w:rFonts w:cs="Aptos"/>
                <w:bCs/>
                <w:iCs/>
                <w:sz w:val="20"/>
                <w:szCs w:val="20"/>
              </w:rPr>
              <w:t>óź</w:t>
            </w:r>
            <w:r w:rsidRPr="001941B0">
              <w:rPr>
                <w:rFonts w:cs="Calibri"/>
                <w:bCs/>
                <w:iCs/>
                <w:sz w:val="20"/>
                <w:szCs w:val="20"/>
              </w:rPr>
              <w:t>nionej reakcji na pogorszenie kliniczne, a tak</w:t>
            </w:r>
            <w:r w:rsidRPr="001941B0">
              <w:rPr>
                <w:rFonts w:cs="Aptos"/>
                <w:bCs/>
                <w:iCs/>
                <w:sz w:val="20"/>
                <w:szCs w:val="20"/>
              </w:rPr>
              <w:t>ż</w:t>
            </w:r>
            <w:r w:rsidRPr="001941B0">
              <w:rPr>
                <w:rFonts w:cs="Calibri"/>
                <w:bCs/>
                <w:iCs/>
                <w:sz w:val="20"/>
                <w:szCs w:val="20"/>
              </w:rPr>
              <w:t>e dublowania informacji oraz rozmycia odpowiedzialno</w:t>
            </w:r>
            <w:r w:rsidRPr="001941B0">
              <w:rPr>
                <w:rFonts w:cs="Aptos"/>
                <w:bCs/>
                <w:iCs/>
                <w:sz w:val="20"/>
                <w:szCs w:val="20"/>
              </w:rPr>
              <w:t>ś</w:t>
            </w:r>
            <w:r w:rsidRPr="001941B0">
              <w:rPr>
                <w:rFonts w:cs="Calibri"/>
                <w:bCs/>
                <w:iCs/>
                <w:sz w:val="20"/>
                <w:szCs w:val="20"/>
              </w:rPr>
              <w:t>ci mi</w:t>
            </w:r>
            <w:r w:rsidRPr="001941B0">
              <w:rPr>
                <w:rFonts w:cs="Aptos"/>
                <w:bCs/>
                <w:iCs/>
                <w:sz w:val="20"/>
                <w:szCs w:val="20"/>
              </w:rPr>
              <w:t>ę</w:t>
            </w:r>
            <w:r w:rsidRPr="001941B0">
              <w:rPr>
                <w:rFonts w:cs="Calibri"/>
                <w:bCs/>
                <w:iCs/>
                <w:sz w:val="20"/>
                <w:szCs w:val="20"/>
              </w:rPr>
              <w:t>dzy poziomami KSK.</w:t>
            </w:r>
          </w:p>
          <w:p w14:paraId="592D3161"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13CC7453" w14:textId="35CC4835" w:rsidR="00306E53" w:rsidRPr="001941B0" w:rsidRDefault="00306E53" w:rsidP="006E0CB2">
            <w:pPr>
              <w:autoSpaceDE w:val="0"/>
              <w:autoSpaceDN w:val="0"/>
              <w:adjustRightInd w:val="0"/>
              <w:spacing w:after="0" w:line="240" w:lineRule="auto"/>
              <w:rPr>
                <w:bCs/>
                <w:iCs/>
                <w:sz w:val="20"/>
                <w:szCs w:val="20"/>
              </w:rPr>
            </w:pPr>
            <w:r w:rsidRPr="001941B0">
              <w:rPr>
                <w:rFonts w:cs="Calibri"/>
                <w:bCs/>
                <w:iCs/>
                <w:sz w:val="20"/>
                <w:szCs w:val="20"/>
              </w:rPr>
              <w:t xml:space="preserve">Doprecyzować w przepisach/uzasadnieniu oraz w wymaganiach wdrożeniowych SIM, że dla pacjentów objętych </w:t>
            </w:r>
            <w:r w:rsidRPr="001941B0">
              <w:rPr>
                <w:rFonts w:cs="Calibri"/>
                <w:bCs/>
                <w:iCs/>
                <w:sz w:val="20"/>
                <w:szCs w:val="20"/>
              </w:rPr>
              <w:lastRenderedPageBreak/>
              <w:t>KSK zdarzenia i dane SDOM muszą być powiązane z e</w:t>
            </w:r>
            <w:r w:rsidRPr="001941B0">
              <w:rPr>
                <w:rFonts w:ascii="Cambria Math" w:hAnsi="Cambria Math" w:cs="Cambria Math"/>
                <w:bCs/>
                <w:iCs/>
                <w:sz w:val="20"/>
                <w:szCs w:val="20"/>
              </w:rPr>
              <w:t>‑</w:t>
            </w:r>
            <w:r w:rsidRPr="001941B0">
              <w:rPr>
                <w:rFonts w:cs="Calibri"/>
                <w:bCs/>
                <w:iCs/>
                <w:sz w:val="20"/>
                <w:szCs w:val="20"/>
              </w:rPr>
              <w:t>KoK (identyfikator epizodu + wpis do e</w:t>
            </w:r>
            <w:r w:rsidRPr="001941B0">
              <w:rPr>
                <w:rFonts w:ascii="Cambria Math" w:hAnsi="Cambria Math" w:cs="Cambria Math"/>
                <w:bCs/>
                <w:iCs/>
                <w:sz w:val="20"/>
                <w:szCs w:val="20"/>
              </w:rPr>
              <w:t>‑</w:t>
            </w:r>
            <w:r w:rsidRPr="001941B0">
              <w:rPr>
                <w:rFonts w:cs="Calibri"/>
                <w:bCs/>
                <w:iCs/>
                <w:sz w:val="20"/>
                <w:szCs w:val="20"/>
              </w:rPr>
              <w:t>KoK/plan opieki). Wprowadzi</w:t>
            </w:r>
            <w:r w:rsidRPr="001941B0">
              <w:rPr>
                <w:rFonts w:cs="Aptos"/>
                <w:bCs/>
                <w:iCs/>
                <w:sz w:val="20"/>
                <w:szCs w:val="20"/>
              </w:rPr>
              <w:t>ć</w:t>
            </w:r>
            <w:r w:rsidRPr="001941B0">
              <w:rPr>
                <w:rFonts w:cs="Calibri"/>
                <w:bCs/>
                <w:iCs/>
                <w:sz w:val="20"/>
                <w:szCs w:val="20"/>
              </w:rPr>
              <w:t xml:space="preserve"> minimalny standard: kto wykonuje tria</w:t>
            </w:r>
            <w:r w:rsidRPr="001941B0">
              <w:rPr>
                <w:rFonts w:cs="Aptos"/>
                <w:bCs/>
                <w:iCs/>
                <w:sz w:val="20"/>
                <w:szCs w:val="20"/>
              </w:rPr>
              <w:t>ż</w:t>
            </w:r>
            <w:r w:rsidRPr="001941B0">
              <w:rPr>
                <w:rFonts w:cs="Calibri"/>
                <w:bCs/>
                <w:iCs/>
                <w:sz w:val="20"/>
                <w:szCs w:val="20"/>
              </w:rPr>
              <w:t>, jak wygl</w:t>
            </w:r>
            <w:r w:rsidRPr="001941B0">
              <w:rPr>
                <w:rFonts w:cs="Aptos"/>
                <w:bCs/>
                <w:iCs/>
                <w:sz w:val="20"/>
                <w:szCs w:val="20"/>
              </w:rPr>
              <w:t>ą</w:t>
            </w:r>
            <w:r w:rsidRPr="001941B0">
              <w:rPr>
                <w:rFonts w:cs="Calibri"/>
                <w:bCs/>
                <w:iCs/>
                <w:sz w:val="20"/>
                <w:szCs w:val="20"/>
              </w:rPr>
              <w:t xml:space="preserve">da eskalacja (POZ/AOS </w:t>
            </w:r>
            <w:r w:rsidRPr="001941B0">
              <w:rPr>
                <w:rFonts w:cs="Aptos"/>
                <w:bCs/>
                <w:iCs/>
                <w:sz w:val="20"/>
                <w:szCs w:val="20"/>
              </w:rPr>
              <w:t>→</w:t>
            </w:r>
            <w:r w:rsidRPr="001941B0">
              <w:rPr>
                <w:rFonts w:cs="Calibri"/>
                <w:bCs/>
                <w:iCs/>
                <w:sz w:val="20"/>
                <w:szCs w:val="20"/>
              </w:rPr>
              <w:t xml:space="preserve"> OK</w:t>
            </w:r>
            <w:r w:rsidRPr="001941B0">
              <w:rPr>
                <w:rFonts w:ascii="Cambria Math" w:hAnsi="Cambria Math" w:cs="Cambria Math"/>
                <w:bCs/>
                <w:iCs/>
                <w:sz w:val="20"/>
                <w:szCs w:val="20"/>
              </w:rPr>
              <w:t>‑</w:t>
            </w:r>
            <w:r w:rsidRPr="001941B0">
              <w:rPr>
                <w:rFonts w:cs="Calibri"/>
                <w:bCs/>
                <w:iCs/>
                <w:sz w:val="20"/>
                <w:szCs w:val="20"/>
              </w:rPr>
              <w:t xml:space="preserve">I/II/III </w:t>
            </w:r>
            <w:r w:rsidRPr="001941B0">
              <w:rPr>
                <w:rFonts w:cs="Aptos"/>
                <w:bCs/>
                <w:iCs/>
                <w:sz w:val="20"/>
                <w:szCs w:val="20"/>
              </w:rPr>
              <w:t>→</w:t>
            </w:r>
            <w:r w:rsidRPr="001941B0">
              <w:rPr>
                <w:rFonts w:cs="Calibri"/>
                <w:bCs/>
                <w:iCs/>
                <w:sz w:val="20"/>
                <w:szCs w:val="20"/>
              </w:rPr>
              <w:t xml:space="preserve"> SOR) i jak </w:t>
            </w:r>
            <w:r w:rsidRPr="001941B0">
              <w:rPr>
                <w:rFonts w:cs="Calibri"/>
                <w:sz w:val="20"/>
                <w:szCs w:val="20"/>
              </w:rPr>
              <w:t>dokumentuje si</w:t>
            </w:r>
            <w:r w:rsidRPr="001941B0">
              <w:rPr>
                <w:rFonts w:cs="Aptos"/>
                <w:sz w:val="20"/>
                <w:szCs w:val="20"/>
              </w:rPr>
              <w:t>ę</w:t>
            </w:r>
            <w:r w:rsidRPr="001941B0">
              <w:rPr>
                <w:rFonts w:cs="Calibri"/>
                <w:sz w:val="20"/>
                <w:szCs w:val="20"/>
              </w:rPr>
              <w:t xml:space="preserve"> reakcj</w:t>
            </w:r>
            <w:r w:rsidRPr="001941B0">
              <w:rPr>
                <w:rFonts w:cs="Aptos"/>
                <w:sz w:val="20"/>
                <w:szCs w:val="20"/>
              </w:rPr>
              <w:t>ę</w:t>
            </w:r>
            <w:r w:rsidRPr="001941B0">
              <w:rPr>
                <w:rFonts w:cs="Calibri"/>
                <w:sz w:val="20"/>
                <w:szCs w:val="20"/>
              </w:rPr>
              <w:t>, zgodnie z opracowanymi uprzednio raportami i wypracowanymi rozwi</w:t>
            </w:r>
            <w:r w:rsidRPr="001941B0">
              <w:rPr>
                <w:rFonts w:cs="Aptos"/>
                <w:sz w:val="20"/>
                <w:szCs w:val="20"/>
              </w:rPr>
              <w:t>ą</w:t>
            </w:r>
            <w:r w:rsidRPr="001941B0">
              <w:rPr>
                <w:rFonts w:cs="Calibri"/>
                <w:sz w:val="20"/>
                <w:szCs w:val="20"/>
              </w:rPr>
              <w:t>zaniami.</w:t>
            </w:r>
          </w:p>
        </w:tc>
        <w:tc>
          <w:tcPr>
            <w:tcW w:w="2855" w:type="dxa"/>
            <w:shd w:val="clear" w:color="auto" w:fill="FFFFFF" w:themeFill="background1"/>
          </w:tcPr>
          <w:p w14:paraId="02887F41" w14:textId="300404C8" w:rsidR="009D0CBD" w:rsidRPr="001941B0" w:rsidRDefault="0077687D" w:rsidP="006E0CB2">
            <w:pPr>
              <w:spacing w:after="0" w:line="240" w:lineRule="auto"/>
              <w:rPr>
                <w:b/>
                <w:sz w:val="20"/>
                <w:szCs w:val="20"/>
              </w:rPr>
            </w:pPr>
            <w:r w:rsidRPr="001941B0">
              <w:rPr>
                <w:b/>
                <w:sz w:val="20"/>
                <w:szCs w:val="20"/>
              </w:rPr>
              <w:lastRenderedPageBreak/>
              <w:t>Uwaga uwzględniona</w:t>
            </w:r>
          </w:p>
          <w:p w14:paraId="2D66CB38" w14:textId="77777777" w:rsidR="009860C2" w:rsidRPr="001941B0" w:rsidRDefault="009860C2" w:rsidP="006E0CB2">
            <w:pPr>
              <w:spacing w:after="0" w:line="240" w:lineRule="auto"/>
              <w:rPr>
                <w:b/>
                <w:sz w:val="20"/>
                <w:szCs w:val="20"/>
              </w:rPr>
            </w:pPr>
          </w:p>
          <w:p w14:paraId="0028C2C3" w14:textId="77777777" w:rsidR="008E12AB" w:rsidRPr="001941B0" w:rsidRDefault="008E12AB" w:rsidP="006E0CB2">
            <w:pPr>
              <w:spacing w:after="0" w:line="240" w:lineRule="auto"/>
              <w:rPr>
                <w:b/>
                <w:sz w:val="20"/>
                <w:szCs w:val="20"/>
              </w:rPr>
            </w:pPr>
          </w:p>
          <w:p w14:paraId="25973D4A" w14:textId="487EB821" w:rsidR="00306E53" w:rsidRPr="001941B0" w:rsidRDefault="00306E53" w:rsidP="00182914">
            <w:pPr>
              <w:spacing w:after="0" w:line="240" w:lineRule="auto"/>
              <w:rPr>
                <w:sz w:val="20"/>
                <w:szCs w:val="20"/>
              </w:rPr>
            </w:pPr>
          </w:p>
        </w:tc>
      </w:tr>
      <w:tr w:rsidR="00FC7212" w:rsidRPr="001941B0" w14:paraId="5830D0D0" w14:textId="77777777" w:rsidTr="7139DBB9">
        <w:trPr>
          <w:trHeight w:val="2745"/>
        </w:trPr>
        <w:tc>
          <w:tcPr>
            <w:tcW w:w="1125" w:type="dxa"/>
            <w:shd w:val="clear" w:color="auto" w:fill="FFFFFF" w:themeFill="background1"/>
          </w:tcPr>
          <w:p w14:paraId="525394C0"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B7E677C" w14:textId="085BD602"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6B54E2CD" w14:textId="4690B7AF"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Artykuł 5 pkt 9)</w:t>
            </w:r>
          </w:p>
        </w:tc>
        <w:tc>
          <w:tcPr>
            <w:tcW w:w="5652" w:type="dxa"/>
            <w:shd w:val="clear" w:color="auto" w:fill="FFFFFF" w:themeFill="background1"/>
          </w:tcPr>
          <w:p w14:paraId="622076FF"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Zbyt szeroki katalog źródeł danych w SDOM (w tym aplikacje „dobrostanu”) bez kategoryzacji wiarygodności – ryzyko nadmiaru fałszywych alarmów i błędnych decyzji klinicznych w kardiologii.</w:t>
            </w:r>
          </w:p>
          <w:p w14:paraId="1281ECFB"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1D6D1295"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Dane konsumenckie (fitness/wearables) mają zmienną jakość i mogą generować artefakty. W kardiologii (arytmie, HF) niezwalidowane sygnały mogą przeciążyć zespół, obniżyć czułość triażu i zwiększyć ryzyko przeoczenia realnego pogorszenia lub wdrożenia nieadekwatnego postępowania.</w:t>
            </w:r>
          </w:p>
          <w:p w14:paraId="7C6E96D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399DEFEE"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Wprowadzić kategoryzację źródeł danych SDOM:  </w:t>
            </w:r>
          </w:p>
          <w:p w14:paraId="7B0A42EB" w14:textId="77777777" w:rsidR="00306E53" w:rsidRPr="001941B0" w:rsidRDefault="00306E53" w:rsidP="006E0CB2">
            <w:pPr>
              <w:numPr>
                <w:ilvl w:val="0"/>
                <w:numId w:val="7"/>
              </w:numPr>
              <w:autoSpaceDE w:val="0"/>
              <w:autoSpaceDN w:val="0"/>
              <w:adjustRightInd w:val="0"/>
              <w:spacing w:after="0" w:line="240" w:lineRule="auto"/>
              <w:rPr>
                <w:rFonts w:cs="Calibri"/>
                <w:bCs/>
                <w:iCs/>
                <w:sz w:val="20"/>
                <w:szCs w:val="20"/>
              </w:rPr>
            </w:pPr>
            <w:r w:rsidRPr="001941B0">
              <w:rPr>
                <w:rFonts w:cs="Calibri"/>
                <w:bCs/>
                <w:iCs/>
                <w:sz w:val="20"/>
                <w:szCs w:val="20"/>
              </w:rPr>
              <w:t xml:space="preserve">wyroby medyczne – dane klinicznie nośne,  </w:t>
            </w:r>
          </w:p>
          <w:p w14:paraId="53B619D2" w14:textId="77777777" w:rsidR="00306E53" w:rsidRPr="001941B0" w:rsidRDefault="00306E53" w:rsidP="006E0CB2">
            <w:pPr>
              <w:numPr>
                <w:ilvl w:val="0"/>
                <w:numId w:val="7"/>
              </w:numPr>
              <w:autoSpaceDE w:val="0"/>
              <w:autoSpaceDN w:val="0"/>
              <w:adjustRightInd w:val="0"/>
              <w:spacing w:after="0" w:line="240" w:lineRule="auto"/>
              <w:rPr>
                <w:rFonts w:cs="Calibri"/>
                <w:bCs/>
                <w:iCs/>
                <w:sz w:val="20"/>
                <w:szCs w:val="20"/>
              </w:rPr>
            </w:pPr>
            <w:r w:rsidRPr="001941B0">
              <w:rPr>
                <w:rFonts w:cs="Calibri"/>
                <w:bCs/>
                <w:iCs/>
                <w:sz w:val="20"/>
                <w:szCs w:val="20"/>
              </w:rPr>
              <w:t xml:space="preserve">urządzenia/aplikacje konsumenckie – dane pomocnicze bez automatycznych decyzji,  </w:t>
            </w:r>
          </w:p>
          <w:p w14:paraId="0C096F39" w14:textId="77777777" w:rsidR="00306E53" w:rsidRPr="001941B0" w:rsidRDefault="00306E53" w:rsidP="006E0CB2">
            <w:pPr>
              <w:numPr>
                <w:ilvl w:val="0"/>
                <w:numId w:val="7"/>
              </w:numPr>
              <w:autoSpaceDE w:val="0"/>
              <w:autoSpaceDN w:val="0"/>
              <w:adjustRightInd w:val="0"/>
              <w:spacing w:after="0" w:line="240" w:lineRule="auto"/>
              <w:rPr>
                <w:rFonts w:cs="Calibri"/>
                <w:bCs/>
                <w:iCs/>
                <w:sz w:val="20"/>
                <w:szCs w:val="20"/>
              </w:rPr>
            </w:pPr>
            <w:r w:rsidRPr="001941B0">
              <w:rPr>
                <w:rFonts w:cs="Calibri"/>
                <w:bCs/>
                <w:iCs/>
                <w:sz w:val="20"/>
                <w:szCs w:val="20"/>
              </w:rPr>
              <w:t xml:space="preserve">dane deklaratywne pacjenta. </w:t>
            </w:r>
          </w:p>
          <w:p w14:paraId="328DBBE6" w14:textId="60FCA0B1" w:rsidR="00306E53" w:rsidRPr="001941B0" w:rsidRDefault="00306E53" w:rsidP="006E0CB2">
            <w:pPr>
              <w:autoSpaceDE w:val="0"/>
              <w:autoSpaceDN w:val="0"/>
              <w:adjustRightInd w:val="0"/>
              <w:spacing w:after="0" w:line="240" w:lineRule="auto"/>
              <w:rPr>
                <w:bCs/>
                <w:iCs/>
                <w:sz w:val="20"/>
                <w:szCs w:val="20"/>
              </w:rPr>
            </w:pPr>
            <w:r w:rsidRPr="001941B0">
              <w:rPr>
                <w:rFonts w:cs="Calibri"/>
                <w:bCs/>
                <w:iCs/>
                <w:sz w:val="20"/>
                <w:szCs w:val="20"/>
              </w:rPr>
              <w:t>Obowiązkowo oznaczać w SDOM typ źródła i poziom wiarygodności/zakres walidacji oraz reguły generowania alertów.</w:t>
            </w:r>
          </w:p>
        </w:tc>
        <w:tc>
          <w:tcPr>
            <w:tcW w:w="2855" w:type="dxa"/>
            <w:shd w:val="clear" w:color="auto" w:fill="FFFFFF" w:themeFill="background1"/>
          </w:tcPr>
          <w:p w14:paraId="4FC4E255" w14:textId="4D19F689" w:rsidR="00306E53" w:rsidRPr="001941B0" w:rsidRDefault="00FB5B4C" w:rsidP="006E0CB2">
            <w:pPr>
              <w:autoSpaceDE w:val="0"/>
              <w:autoSpaceDN w:val="0"/>
              <w:adjustRightInd w:val="0"/>
              <w:spacing w:after="0" w:line="240" w:lineRule="auto"/>
              <w:rPr>
                <w:b/>
                <w:sz w:val="20"/>
                <w:szCs w:val="20"/>
              </w:rPr>
            </w:pPr>
            <w:r w:rsidRPr="001941B0">
              <w:rPr>
                <w:b/>
                <w:sz w:val="20"/>
                <w:szCs w:val="20"/>
              </w:rPr>
              <w:t>Wyjaśnienie</w:t>
            </w:r>
          </w:p>
          <w:p w14:paraId="026E2FEA" w14:textId="3B24E932" w:rsidR="00306E53" w:rsidRPr="001941B0" w:rsidRDefault="61FF53EA" w:rsidP="006E0CB2">
            <w:pPr>
              <w:autoSpaceDE w:val="0"/>
              <w:autoSpaceDN w:val="0"/>
              <w:adjustRightInd w:val="0"/>
              <w:spacing w:after="0" w:line="240" w:lineRule="auto"/>
              <w:rPr>
                <w:sz w:val="20"/>
                <w:szCs w:val="20"/>
              </w:rPr>
            </w:pPr>
            <w:r w:rsidRPr="001941B0">
              <w:rPr>
                <w:sz w:val="20"/>
                <w:szCs w:val="20"/>
              </w:rPr>
              <w:t xml:space="preserve">Będzie możliwość kategoryzacji </w:t>
            </w:r>
            <w:r w:rsidR="003C27F4" w:rsidRPr="001941B0">
              <w:rPr>
                <w:sz w:val="20"/>
                <w:szCs w:val="20"/>
              </w:rPr>
              <w:t xml:space="preserve">źródeł </w:t>
            </w:r>
            <w:r w:rsidRPr="001941B0">
              <w:rPr>
                <w:sz w:val="20"/>
                <w:szCs w:val="20"/>
              </w:rPr>
              <w:t>danych</w:t>
            </w:r>
            <w:r w:rsidR="003C27F4" w:rsidRPr="001941B0">
              <w:rPr>
                <w:sz w:val="20"/>
                <w:szCs w:val="20"/>
              </w:rPr>
              <w:t>.</w:t>
            </w:r>
          </w:p>
        </w:tc>
      </w:tr>
      <w:tr w:rsidR="00FC7212" w:rsidRPr="001941B0" w14:paraId="56FBB454" w14:textId="77777777" w:rsidTr="7139DBB9">
        <w:tc>
          <w:tcPr>
            <w:tcW w:w="1125" w:type="dxa"/>
            <w:shd w:val="clear" w:color="auto" w:fill="FFFFFF" w:themeFill="background1"/>
          </w:tcPr>
          <w:p w14:paraId="5CF66DD7"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4E0C504" w14:textId="0AA3AF80"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6DF32A94" w14:textId="4E4F0AC1"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Artykuł 5 pkt 9)</w:t>
            </w:r>
          </w:p>
        </w:tc>
        <w:tc>
          <w:tcPr>
            <w:tcW w:w="5652" w:type="dxa"/>
            <w:shd w:val="clear" w:color="auto" w:fill="FFFFFF" w:themeFill="background1"/>
          </w:tcPr>
          <w:p w14:paraId="75E1611C"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Brak minimalnych standardów reakcji na alerty, czasu odpowiedzi i eskalacji w SDOM – ryzyko, że SDOM stanie się „hurtownią sygnałów” bez gwarancji bezpieczeństwa klinicznego.</w:t>
            </w:r>
          </w:p>
          <w:p w14:paraId="62575D8A"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 uwagi:</w:t>
            </w:r>
          </w:p>
          <w:p w14:paraId="4CAC6667"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W telemonitoringu kardiologicznym bezpieczeństwo zależy od procedur: progów alarmowych, priorytetyzacji, kto i kiedy reaguje oraz jak eskaluje. Bez takich ram rośnie ryzyko opóźnienia interwencji (np. dekompensacja HF), a odpowiedzialność za brak reakcji staje się niejasna.</w:t>
            </w:r>
          </w:p>
          <w:p w14:paraId="0CE14D25"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Propozycje rozwiązań:</w:t>
            </w:r>
          </w:p>
          <w:p w14:paraId="24B560FC" w14:textId="3A59421C" w:rsidR="00306E53" w:rsidRPr="001941B0" w:rsidRDefault="00306E53" w:rsidP="006E0CB2">
            <w:pPr>
              <w:autoSpaceDE w:val="0"/>
              <w:autoSpaceDN w:val="0"/>
              <w:adjustRightInd w:val="0"/>
              <w:spacing w:after="0" w:line="240" w:lineRule="auto"/>
              <w:rPr>
                <w:bCs/>
                <w:iCs/>
                <w:sz w:val="20"/>
                <w:szCs w:val="20"/>
              </w:rPr>
            </w:pPr>
            <w:r w:rsidRPr="001941B0">
              <w:rPr>
                <w:rFonts w:cs="Calibri"/>
                <w:sz w:val="20"/>
                <w:szCs w:val="20"/>
              </w:rPr>
              <w:lastRenderedPageBreak/>
              <w:t>Dodać w OSR/uzasadnieniu oraz w dokumentach wykonawczych/wdrożeniowych SDOM minimalny zestaw wymagań organizacyjnych: definicje alertów, triaż rola, kwalifikacje), czasy reakcji dla alertów wysokiego/średniego/niskiego ryzyka, ścieżka eskalacji i obowiązek odnotowania interwencji (preferencyjnie w e</w:t>
            </w:r>
            <w:r w:rsidRPr="001941B0">
              <w:rPr>
                <w:rFonts w:ascii="Cambria Math" w:hAnsi="Cambria Math" w:cs="Cambria Math"/>
                <w:sz w:val="20"/>
                <w:szCs w:val="20"/>
              </w:rPr>
              <w:t>‑</w:t>
            </w:r>
            <w:r w:rsidRPr="001941B0">
              <w:rPr>
                <w:rFonts w:cs="Calibri"/>
                <w:sz w:val="20"/>
                <w:szCs w:val="20"/>
              </w:rPr>
              <w:t>KoK przy pacjentach KSK).</w:t>
            </w:r>
          </w:p>
        </w:tc>
        <w:tc>
          <w:tcPr>
            <w:tcW w:w="2855" w:type="dxa"/>
            <w:shd w:val="clear" w:color="auto" w:fill="FFFFFF" w:themeFill="background1"/>
          </w:tcPr>
          <w:p w14:paraId="0D49F275" w14:textId="4E0C4CC7" w:rsidR="00306E53" w:rsidRPr="001941B0" w:rsidRDefault="00306E53"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6769B905" w14:textId="4E0E722F" w:rsidR="00306E53" w:rsidRPr="001941B0" w:rsidRDefault="00306E53" w:rsidP="006E0CB2">
            <w:pPr>
              <w:autoSpaceDE w:val="0"/>
              <w:autoSpaceDN w:val="0"/>
              <w:adjustRightInd w:val="0"/>
              <w:spacing w:after="0" w:line="240" w:lineRule="auto"/>
              <w:rPr>
                <w:sz w:val="20"/>
                <w:szCs w:val="20"/>
              </w:rPr>
            </w:pPr>
            <w:r w:rsidRPr="001941B0">
              <w:rPr>
                <w:sz w:val="20"/>
                <w:szCs w:val="20"/>
              </w:rPr>
              <w:t xml:space="preserve">DOM jest systemem ICT, nie jest wyrobem medycznym.  </w:t>
            </w:r>
          </w:p>
          <w:p w14:paraId="5D5668B4" w14:textId="7F507EC8" w:rsidR="00306E53" w:rsidRPr="001941B0" w:rsidRDefault="00306E53" w:rsidP="006E0CB2">
            <w:pPr>
              <w:autoSpaceDE w:val="0"/>
              <w:autoSpaceDN w:val="0"/>
              <w:adjustRightInd w:val="0"/>
              <w:spacing w:after="0" w:line="240" w:lineRule="auto"/>
              <w:rPr>
                <w:sz w:val="20"/>
                <w:szCs w:val="20"/>
              </w:rPr>
            </w:pPr>
            <w:r w:rsidRPr="001941B0">
              <w:rPr>
                <w:sz w:val="20"/>
                <w:szCs w:val="20"/>
              </w:rPr>
              <w:t xml:space="preserve">Zakres dostępnych informacji będzie zależał od zlecenia lekarza. </w:t>
            </w:r>
            <w:r w:rsidR="005E7605" w:rsidRPr="001941B0">
              <w:rPr>
                <w:sz w:val="20"/>
                <w:szCs w:val="20"/>
              </w:rPr>
              <w:t>W systemie DOM nie ma automatycznej identyfikacji przekroczeni</w:t>
            </w:r>
            <w:r w:rsidR="00FA51DE" w:rsidRPr="001941B0">
              <w:rPr>
                <w:sz w:val="20"/>
                <w:szCs w:val="20"/>
              </w:rPr>
              <w:t>a</w:t>
            </w:r>
            <w:r w:rsidR="005E7605" w:rsidRPr="001941B0">
              <w:rPr>
                <w:sz w:val="20"/>
                <w:szCs w:val="20"/>
              </w:rPr>
              <w:t xml:space="preserve"> bezpiecznych poziomów dla poszczególnych pomiarów. Brak również możliwości </w:t>
            </w:r>
            <w:r w:rsidR="005E7605" w:rsidRPr="001941B0">
              <w:rPr>
                <w:sz w:val="20"/>
                <w:szCs w:val="20"/>
              </w:rPr>
              <w:lastRenderedPageBreak/>
              <w:t>powiadamiania użytkowników o wystąpieniu takiego zdarzenia.</w:t>
            </w:r>
            <w:r w:rsidRPr="001941B0">
              <w:rPr>
                <w:sz w:val="20"/>
                <w:szCs w:val="20"/>
              </w:rPr>
              <w:t xml:space="preserve"> </w:t>
            </w:r>
          </w:p>
        </w:tc>
      </w:tr>
      <w:tr w:rsidR="00FC7212" w:rsidRPr="001941B0" w14:paraId="77D18AD5" w14:textId="77777777" w:rsidTr="7139DBB9">
        <w:tc>
          <w:tcPr>
            <w:tcW w:w="1125" w:type="dxa"/>
            <w:shd w:val="clear" w:color="auto" w:fill="FFFFFF" w:themeFill="background1"/>
          </w:tcPr>
          <w:p w14:paraId="01F78555"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FC2C721" w14:textId="08DF3D78"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3E5DE7C6" w14:textId="0B85D330"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Artykuł 5 pkt 9)</w:t>
            </w:r>
          </w:p>
        </w:tc>
        <w:tc>
          <w:tcPr>
            <w:tcW w:w="5652" w:type="dxa"/>
            <w:shd w:val="clear" w:color="auto" w:fill="FFFFFF" w:themeFill="background1"/>
          </w:tcPr>
          <w:p w14:paraId="4BE9AE72"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Sformułowanie „orzekania o stanie zdrowia” jest nieadekwatne do charakteru konsyliów kardiologicznych (Heart Team/EP/HF) i może generować spory co do odpowiedzialności klinicznej.</w:t>
            </w:r>
          </w:p>
          <w:p w14:paraId="5ED62A7F"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5929373B"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kardiologii konsylium ma zwykle cel uzgodnienia planu diagnostyczno</w:t>
            </w:r>
            <w:r w:rsidRPr="001941B0">
              <w:rPr>
                <w:rFonts w:ascii="Cambria Math" w:hAnsi="Cambria Math" w:cs="Cambria Math"/>
                <w:bCs/>
                <w:iCs/>
                <w:sz w:val="20"/>
                <w:szCs w:val="20"/>
              </w:rPr>
              <w:t>‑</w:t>
            </w:r>
            <w:r w:rsidRPr="001941B0">
              <w:rPr>
                <w:rFonts w:cs="Calibri"/>
                <w:bCs/>
                <w:iCs/>
                <w:sz w:val="20"/>
                <w:szCs w:val="20"/>
              </w:rPr>
              <w:t xml:space="preserve">terapeutycznego i wyboru strategii leczenia (np. PCI vs CABG, TAVI vs SAVR), a nie </w:t>
            </w:r>
            <w:r w:rsidRPr="001941B0">
              <w:rPr>
                <w:rFonts w:cs="Aptos"/>
                <w:bCs/>
                <w:iCs/>
                <w:sz w:val="20"/>
                <w:szCs w:val="20"/>
              </w:rPr>
              <w:t>„</w:t>
            </w:r>
            <w:r w:rsidRPr="001941B0">
              <w:rPr>
                <w:rFonts w:cs="Calibri"/>
                <w:bCs/>
                <w:iCs/>
                <w:sz w:val="20"/>
                <w:szCs w:val="20"/>
              </w:rPr>
              <w:t>orzekania o stanie zdrowia</w:t>
            </w:r>
            <w:r w:rsidRPr="001941B0">
              <w:rPr>
                <w:rFonts w:cs="Aptos"/>
                <w:bCs/>
                <w:iCs/>
                <w:sz w:val="20"/>
                <w:szCs w:val="20"/>
              </w:rPr>
              <w:t>”</w:t>
            </w:r>
            <w:r w:rsidRPr="001941B0">
              <w:rPr>
                <w:rFonts w:cs="Calibri"/>
                <w:bCs/>
                <w:iCs/>
                <w:sz w:val="20"/>
                <w:szCs w:val="20"/>
              </w:rPr>
              <w:t>. Utrzymanie tej semantyki mo</w:t>
            </w:r>
            <w:r w:rsidRPr="001941B0">
              <w:rPr>
                <w:rFonts w:cs="Aptos"/>
                <w:bCs/>
                <w:iCs/>
                <w:sz w:val="20"/>
                <w:szCs w:val="20"/>
              </w:rPr>
              <w:t>ż</w:t>
            </w:r>
            <w:r w:rsidRPr="001941B0">
              <w:rPr>
                <w:rFonts w:cs="Calibri"/>
                <w:bCs/>
                <w:iCs/>
                <w:sz w:val="20"/>
                <w:szCs w:val="20"/>
              </w:rPr>
              <w:t>e by</w:t>
            </w:r>
            <w:r w:rsidRPr="001941B0">
              <w:rPr>
                <w:rFonts w:cs="Aptos"/>
                <w:bCs/>
                <w:iCs/>
                <w:sz w:val="20"/>
                <w:szCs w:val="20"/>
              </w:rPr>
              <w:t>ć</w:t>
            </w:r>
            <w:r w:rsidRPr="001941B0">
              <w:rPr>
                <w:rFonts w:cs="Calibri"/>
                <w:bCs/>
                <w:iCs/>
                <w:sz w:val="20"/>
                <w:szCs w:val="20"/>
              </w:rPr>
              <w:t xml:space="preserve"> interpretowane jako przeniesienie odpowiedzialno</w:t>
            </w:r>
            <w:r w:rsidRPr="001941B0">
              <w:rPr>
                <w:rFonts w:cs="Aptos"/>
                <w:bCs/>
                <w:iCs/>
                <w:sz w:val="20"/>
                <w:szCs w:val="20"/>
              </w:rPr>
              <w:t>ś</w:t>
            </w:r>
            <w:r w:rsidRPr="001941B0">
              <w:rPr>
                <w:rFonts w:cs="Calibri"/>
                <w:bCs/>
                <w:iCs/>
                <w:sz w:val="20"/>
                <w:szCs w:val="20"/>
              </w:rPr>
              <w:t>ci na konsultuj</w:t>
            </w:r>
            <w:r w:rsidRPr="001941B0">
              <w:rPr>
                <w:rFonts w:cs="Aptos"/>
                <w:bCs/>
                <w:iCs/>
                <w:sz w:val="20"/>
                <w:szCs w:val="20"/>
              </w:rPr>
              <w:t>ą</w:t>
            </w:r>
            <w:r w:rsidRPr="001941B0">
              <w:rPr>
                <w:rFonts w:cs="Calibri"/>
                <w:bCs/>
                <w:iCs/>
                <w:sz w:val="20"/>
                <w:szCs w:val="20"/>
              </w:rPr>
              <w:t>cych albo jako wym</w:t>
            </w:r>
            <w:r w:rsidRPr="001941B0">
              <w:rPr>
                <w:rFonts w:cs="Aptos"/>
                <w:bCs/>
                <w:iCs/>
                <w:sz w:val="20"/>
                <w:szCs w:val="20"/>
              </w:rPr>
              <w:t>ó</w:t>
            </w:r>
            <w:r w:rsidRPr="001941B0">
              <w:rPr>
                <w:rFonts w:cs="Calibri"/>
                <w:bCs/>
                <w:iCs/>
                <w:sz w:val="20"/>
                <w:szCs w:val="20"/>
              </w:rPr>
              <w:t>g formalny wykraczaj</w:t>
            </w:r>
            <w:r w:rsidRPr="001941B0">
              <w:rPr>
                <w:rFonts w:cs="Aptos"/>
                <w:bCs/>
                <w:iCs/>
                <w:sz w:val="20"/>
                <w:szCs w:val="20"/>
              </w:rPr>
              <w:t>ą</w:t>
            </w:r>
            <w:r w:rsidRPr="001941B0">
              <w:rPr>
                <w:rFonts w:cs="Calibri"/>
                <w:bCs/>
                <w:iCs/>
                <w:sz w:val="20"/>
                <w:szCs w:val="20"/>
              </w:rPr>
              <w:t>cy poza sens kliniczny i ingerencje w kompetencje lekarza orzecznika (odr</w:t>
            </w:r>
            <w:r w:rsidRPr="001941B0">
              <w:rPr>
                <w:rFonts w:cs="Aptos"/>
                <w:bCs/>
                <w:iCs/>
                <w:sz w:val="20"/>
                <w:szCs w:val="20"/>
              </w:rPr>
              <w:t>ę</w:t>
            </w:r>
            <w:r w:rsidRPr="001941B0">
              <w:rPr>
                <w:rFonts w:cs="Calibri"/>
                <w:bCs/>
                <w:iCs/>
                <w:sz w:val="20"/>
                <w:szCs w:val="20"/>
              </w:rPr>
              <w:t>bna specjalizacja lekarska).</w:t>
            </w:r>
          </w:p>
          <w:p w14:paraId="1D38BE42"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33917CE8" w14:textId="24E7AC11" w:rsidR="00306E53" w:rsidRPr="001941B0" w:rsidRDefault="00306E53" w:rsidP="006E0CB2">
            <w:pPr>
              <w:autoSpaceDE w:val="0"/>
              <w:autoSpaceDN w:val="0"/>
              <w:adjustRightInd w:val="0"/>
              <w:spacing w:after="0" w:line="240" w:lineRule="auto"/>
              <w:rPr>
                <w:bCs/>
                <w:iCs/>
                <w:sz w:val="20"/>
                <w:szCs w:val="20"/>
              </w:rPr>
            </w:pPr>
            <w:r w:rsidRPr="001941B0">
              <w:rPr>
                <w:rFonts w:cs="Calibri"/>
                <w:bCs/>
                <w:iCs/>
                <w:sz w:val="20"/>
                <w:szCs w:val="20"/>
              </w:rPr>
              <w:t>Zmienić brzmienie celu na „oceny i uzgodnienia postępowania diagnostyczno</w:t>
            </w:r>
            <w:r w:rsidRPr="001941B0">
              <w:rPr>
                <w:rFonts w:ascii="Cambria Math" w:hAnsi="Cambria Math" w:cs="Cambria Math"/>
                <w:bCs/>
                <w:iCs/>
                <w:sz w:val="20"/>
                <w:szCs w:val="20"/>
              </w:rPr>
              <w:t>‑</w:t>
            </w:r>
            <w:r w:rsidRPr="001941B0">
              <w:rPr>
                <w:rFonts w:cs="Calibri"/>
                <w:bCs/>
                <w:iCs/>
                <w:sz w:val="20"/>
                <w:szCs w:val="20"/>
              </w:rPr>
              <w:t>terapeutycznego / planu leczenia</w:t>
            </w:r>
            <w:r w:rsidRPr="001941B0">
              <w:rPr>
                <w:rFonts w:cs="Aptos"/>
                <w:bCs/>
                <w:iCs/>
                <w:sz w:val="20"/>
                <w:szCs w:val="20"/>
              </w:rPr>
              <w:t>”</w:t>
            </w:r>
            <w:r w:rsidRPr="001941B0">
              <w:rPr>
                <w:rFonts w:cs="Calibri"/>
                <w:bCs/>
                <w:iCs/>
                <w:sz w:val="20"/>
                <w:szCs w:val="20"/>
              </w:rPr>
              <w:t xml:space="preserve">, przy zachowaniu, </w:t>
            </w:r>
            <w:r w:rsidRPr="001941B0">
              <w:rPr>
                <w:rFonts w:cs="Aptos"/>
                <w:bCs/>
                <w:iCs/>
                <w:sz w:val="20"/>
                <w:szCs w:val="20"/>
              </w:rPr>
              <w:t>ż</w:t>
            </w:r>
            <w:r w:rsidRPr="001941B0">
              <w:rPr>
                <w:rFonts w:cs="Calibri"/>
                <w:bCs/>
                <w:iCs/>
                <w:sz w:val="20"/>
                <w:szCs w:val="20"/>
              </w:rPr>
              <w:t xml:space="preserve">e </w:t>
            </w:r>
            <w:r w:rsidRPr="001941B0">
              <w:rPr>
                <w:rFonts w:cs="Aptos"/>
                <w:bCs/>
                <w:iCs/>
                <w:sz w:val="20"/>
                <w:szCs w:val="20"/>
              </w:rPr>
              <w:t>ś</w:t>
            </w:r>
            <w:r w:rsidRPr="001941B0">
              <w:rPr>
                <w:rFonts w:cs="Calibri"/>
                <w:bCs/>
                <w:iCs/>
                <w:sz w:val="20"/>
                <w:szCs w:val="20"/>
              </w:rPr>
              <w:t>wiadczenia realizuje wnioskuj</w:t>
            </w:r>
            <w:r w:rsidRPr="001941B0">
              <w:rPr>
                <w:rFonts w:cs="Aptos"/>
                <w:bCs/>
                <w:iCs/>
                <w:sz w:val="20"/>
                <w:szCs w:val="20"/>
              </w:rPr>
              <w:t>ą</w:t>
            </w:r>
            <w:r w:rsidRPr="001941B0">
              <w:rPr>
                <w:rFonts w:cs="Calibri"/>
                <w:bCs/>
                <w:iCs/>
                <w:sz w:val="20"/>
                <w:szCs w:val="20"/>
              </w:rPr>
              <w:t>cy us</w:t>
            </w:r>
            <w:r w:rsidRPr="001941B0">
              <w:rPr>
                <w:rFonts w:cs="Aptos"/>
                <w:bCs/>
                <w:iCs/>
                <w:sz w:val="20"/>
                <w:szCs w:val="20"/>
              </w:rPr>
              <w:t>ł</w:t>
            </w:r>
            <w:r w:rsidRPr="001941B0">
              <w:rPr>
                <w:rFonts w:cs="Calibri"/>
                <w:bCs/>
                <w:iCs/>
                <w:sz w:val="20"/>
                <w:szCs w:val="20"/>
              </w:rPr>
              <w:t>ugodawca. Doda</w:t>
            </w:r>
            <w:r w:rsidRPr="001941B0">
              <w:rPr>
                <w:rFonts w:cs="Aptos"/>
                <w:bCs/>
                <w:iCs/>
                <w:sz w:val="20"/>
                <w:szCs w:val="20"/>
              </w:rPr>
              <w:t>ć</w:t>
            </w:r>
            <w:r w:rsidRPr="001941B0">
              <w:rPr>
                <w:rFonts w:cs="Calibri"/>
                <w:bCs/>
                <w:iCs/>
                <w:sz w:val="20"/>
                <w:szCs w:val="20"/>
              </w:rPr>
              <w:t xml:space="preserve"> wym</w:t>
            </w:r>
            <w:r w:rsidRPr="001941B0">
              <w:rPr>
                <w:rFonts w:cs="Aptos"/>
                <w:bCs/>
                <w:iCs/>
                <w:sz w:val="20"/>
                <w:szCs w:val="20"/>
              </w:rPr>
              <w:t>ó</w:t>
            </w:r>
            <w:r w:rsidRPr="001941B0">
              <w:rPr>
                <w:rFonts w:cs="Calibri"/>
                <w:bCs/>
                <w:iCs/>
                <w:sz w:val="20"/>
                <w:szCs w:val="20"/>
              </w:rPr>
              <w:t>g jasnego wskazania r</w:t>
            </w:r>
            <w:r w:rsidRPr="001941B0">
              <w:rPr>
                <w:rFonts w:cs="Aptos"/>
                <w:bCs/>
                <w:iCs/>
                <w:sz w:val="20"/>
                <w:szCs w:val="20"/>
              </w:rPr>
              <w:t>ó</w:t>
            </w:r>
            <w:r w:rsidRPr="001941B0">
              <w:rPr>
                <w:rFonts w:cs="Calibri"/>
                <w:bCs/>
                <w:iCs/>
                <w:sz w:val="20"/>
                <w:szCs w:val="20"/>
              </w:rPr>
              <w:t>l i odpowiedzialno</w:t>
            </w:r>
            <w:r w:rsidRPr="001941B0">
              <w:rPr>
                <w:rFonts w:cs="Aptos"/>
                <w:bCs/>
                <w:iCs/>
                <w:sz w:val="20"/>
                <w:szCs w:val="20"/>
              </w:rPr>
              <w:t>ś</w:t>
            </w:r>
            <w:r w:rsidRPr="001941B0">
              <w:rPr>
                <w:rFonts w:cs="Calibri"/>
                <w:bCs/>
                <w:iCs/>
                <w:sz w:val="20"/>
                <w:szCs w:val="20"/>
              </w:rPr>
              <w:t>ci (wnioskuj</w:t>
            </w:r>
            <w:r w:rsidRPr="001941B0">
              <w:rPr>
                <w:rFonts w:cs="Aptos"/>
                <w:bCs/>
                <w:iCs/>
                <w:sz w:val="20"/>
                <w:szCs w:val="20"/>
              </w:rPr>
              <w:t>ą</w:t>
            </w:r>
            <w:r w:rsidRPr="001941B0">
              <w:rPr>
                <w:rFonts w:cs="Calibri"/>
                <w:bCs/>
                <w:iCs/>
                <w:sz w:val="20"/>
                <w:szCs w:val="20"/>
              </w:rPr>
              <w:t>cy vs konsultuj</w:t>
            </w:r>
            <w:r w:rsidRPr="001941B0">
              <w:rPr>
                <w:rFonts w:cs="Aptos"/>
                <w:bCs/>
                <w:iCs/>
                <w:sz w:val="20"/>
                <w:szCs w:val="20"/>
              </w:rPr>
              <w:t>ą</w:t>
            </w:r>
            <w:r w:rsidRPr="001941B0">
              <w:rPr>
                <w:rFonts w:cs="Calibri"/>
                <w:bCs/>
                <w:iCs/>
                <w:sz w:val="20"/>
                <w:szCs w:val="20"/>
              </w:rPr>
              <w:t>cy) w karcie/ opisie konsylium.</w:t>
            </w:r>
          </w:p>
        </w:tc>
        <w:tc>
          <w:tcPr>
            <w:tcW w:w="2855" w:type="dxa"/>
            <w:shd w:val="clear" w:color="auto" w:fill="FFFFFF" w:themeFill="background1"/>
          </w:tcPr>
          <w:p w14:paraId="6F71B249" w14:textId="61E31B9A" w:rsidR="00306E53" w:rsidRPr="001941B0" w:rsidRDefault="00306E53" w:rsidP="006E0CB2">
            <w:pPr>
              <w:autoSpaceDE w:val="0"/>
              <w:autoSpaceDN w:val="0"/>
              <w:adjustRightInd w:val="0"/>
              <w:spacing w:after="0" w:line="240" w:lineRule="auto"/>
              <w:rPr>
                <w:b/>
                <w:sz w:val="20"/>
                <w:szCs w:val="20"/>
              </w:rPr>
            </w:pPr>
            <w:r w:rsidRPr="001941B0">
              <w:rPr>
                <w:b/>
                <w:sz w:val="20"/>
                <w:szCs w:val="20"/>
              </w:rPr>
              <w:t>Uwaga uwzględniona</w:t>
            </w:r>
          </w:p>
        </w:tc>
      </w:tr>
      <w:tr w:rsidR="00FC7212" w:rsidRPr="001941B0" w14:paraId="597D28FC" w14:textId="77777777" w:rsidTr="7139DBB9">
        <w:tc>
          <w:tcPr>
            <w:tcW w:w="1125" w:type="dxa"/>
            <w:shd w:val="clear" w:color="auto" w:fill="FFFFFF" w:themeFill="background1"/>
          </w:tcPr>
          <w:p w14:paraId="17272594"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3D95E27" w14:textId="6BCECD15"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54FDF1A2" w14:textId="7BD43625"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Artykuł 5 pkt 9)</w:t>
            </w:r>
          </w:p>
        </w:tc>
        <w:tc>
          <w:tcPr>
            <w:tcW w:w="5652" w:type="dxa"/>
            <w:shd w:val="clear" w:color="auto" w:fill="FFFFFF" w:themeFill="background1"/>
          </w:tcPr>
          <w:p w14:paraId="180A081E"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Brak obowiązkowego powiązania wyniku e</w:t>
            </w:r>
            <w:r w:rsidRPr="001941B0">
              <w:rPr>
                <w:rFonts w:ascii="Cambria Math" w:hAnsi="Cambria Math" w:cs="Cambria Math"/>
                <w:bCs/>
                <w:iCs/>
                <w:sz w:val="20"/>
                <w:szCs w:val="20"/>
              </w:rPr>
              <w:t>‑</w:t>
            </w:r>
            <w:r w:rsidRPr="001941B0">
              <w:rPr>
                <w:rFonts w:cs="Calibri"/>
                <w:bCs/>
                <w:iCs/>
                <w:sz w:val="20"/>
                <w:szCs w:val="20"/>
              </w:rPr>
              <w:t>konsylium z procesem KSK/e</w:t>
            </w:r>
            <w:r w:rsidRPr="001941B0">
              <w:rPr>
                <w:rFonts w:ascii="Cambria Math" w:hAnsi="Cambria Math" w:cs="Cambria Math"/>
                <w:bCs/>
                <w:iCs/>
                <w:sz w:val="20"/>
                <w:szCs w:val="20"/>
              </w:rPr>
              <w:t>‑</w:t>
            </w:r>
            <w:r w:rsidRPr="001941B0">
              <w:rPr>
                <w:rFonts w:cs="Calibri"/>
                <w:bCs/>
                <w:iCs/>
                <w:sz w:val="20"/>
                <w:szCs w:val="20"/>
              </w:rPr>
              <w:t>KoK dla pacjent</w:t>
            </w:r>
            <w:r w:rsidRPr="001941B0">
              <w:rPr>
                <w:rFonts w:cs="Aptos"/>
                <w:bCs/>
                <w:iCs/>
                <w:sz w:val="20"/>
                <w:szCs w:val="20"/>
              </w:rPr>
              <w:t>ó</w:t>
            </w:r>
            <w:r w:rsidRPr="001941B0">
              <w:rPr>
                <w:rFonts w:cs="Calibri"/>
                <w:bCs/>
                <w:iCs/>
                <w:sz w:val="20"/>
                <w:szCs w:val="20"/>
              </w:rPr>
              <w:t>w obj</w:t>
            </w:r>
            <w:r w:rsidRPr="001941B0">
              <w:rPr>
                <w:rFonts w:cs="Aptos"/>
                <w:bCs/>
                <w:iCs/>
                <w:sz w:val="20"/>
                <w:szCs w:val="20"/>
              </w:rPr>
              <w:t>ę</w:t>
            </w:r>
            <w:r w:rsidRPr="001941B0">
              <w:rPr>
                <w:rFonts w:cs="Calibri"/>
                <w:bCs/>
                <w:iCs/>
                <w:sz w:val="20"/>
                <w:szCs w:val="20"/>
              </w:rPr>
              <w:t>tych koordynacj</w:t>
            </w:r>
            <w:r w:rsidRPr="001941B0">
              <w:rPr>
                <w:rFonts w:cs="Aptos"/>
                <w:bCs/>
                <w:iCs/>
                <w:sz w:val="20"/>
                <w:szCs w:val="20"/>
              </w:rPr>
              <w:t>ą</w:t>
            </w:r>
            <w:r w:rsidRPr="001941B0">
              <w:rPr>
                <w:rFonts w:cs="Calibri"/>
                <w:bCs/>
                <w:iCs/>
                <w:sz w:val="20"/>
                <w:szCs w:val="20"/>
              </w:rPr>
              <w:t xml:space="preserve"> </w:t>
            </w:r>
            <w:r w:rsidRPr="001941B0">
              <w:rPr>
                <w:rFonts w:cs="Aptos"/>
                <w:bCs/>
                <w:iCs/>
                <w:sz w:val="20"/>
                <w:szCs w:val="20"/>
              </w:rPr>
              <w:t>–</w:t>
            </w:r>
            <w:r w:rsidRPr="001941B0">
              <w:rPr>
                <w:rFonts w:cs="Calibri"/>
                <w:bCs/>
                <w:iCs/>
                <w:sz w:val="20"/>
                <w:szCs w:val="20"/>
              </w:rPr>
              <w:t xml:space="preserve"> ryzyko </w:t>
            </w:r>
            <w:r w:rsidRPr="001941B0">
              <w:rPr>
                <w:rFonts w:cs="Aptos"/>
                <w:bCs/>
                <w:iCs/>
                <w:sz w:val="20"/>
                <w:szCs w:val="20"/>
              </w:rPr>
              <w:t>„</w:t>
            </w:r>
            <w:r w:rsidRPr="001941B0">
              <w:rPr>
                <w:rFonts w:cs="Calibri"/>
                <w:bCs/>
                <w:iCs/>
                <w:sz w:val="20"/>
                <w:szCs w:val="20"/>
              </w:rPr>
              <w:t xml:space="preserve">konsylium poza </w:t>
            </w:r>
            <w:r w:rsidRPr="001941B0">
              <w:rPr>
                <w:rFonts w:cs="Aptos"/>
                <w:bCs/>
                <w:iCs/>
                <w:sz w:val="20"/>
                <w:szCs w:val="20"/>
              </w:rPr>
              <w:t>ś</w:t>
            </w:r>
            <w:r w:rsidRPr="001941B0">
              <w:rPr>
                <w:rFonts w:cs="Calibri"/>
                <w:bCs/>
                <w:iCs/>
                <w:sz w:val="20"/>
                <w:szCs w:val="20"/>
              </w:rPr>
              <w:t>cie</w:t>
            </w:r>
            <w:r w:rsidRPr="001941B0">
              <w:rPr>
                <w:rFonts w:cs="Aptos"/>
                <w:bCs/>
                <w:iCs/>
                <w:sz w:val="20"/>
                <w:szCs w:val="20"/>
              </w:rPr>
              <w:t>ż</w:t>
            </w:r>
            <w:r w:rsidRPr="001941B0">
              <w:rPr>
                <w:rFonts w:cs="Calibri"/>
                <w:bCs/>
                <w:iCs/>
                <w:sz w:val="20"/>
                <w:szCs w:val="20"/>
              </w:rPr>
              <w:t>k</w:t>
            </w:r>
            <w:r w:rsidRPr="001941B0">
              <w:rPr>
                <w:rFonts w:cs="Aptos"/>
                <w:bCs/>
                <w:iCs/>
                <w:sz w:val="20"/>
                <w:szCs w:val="20"/>
              </w:rPr>
              <w:t>ą”</w:t>
            </w:r>
            <w:r w:rsidRPr="001941B0">
              <w:rPr>
                <w:rFonts w:cs="Calibri"/>
                <w:bCs/>
                <w:iCs/>
                <w:sz w:val="20"/>
                <w:szCs w:val="20"/>
              </w:rPr>
              <w:t>.</w:t>
            </w:r>
          </w:p>
          <w:p w14:paraId="53E61654"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3CF36D88"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KSK kluczowe jest, aby decyzje konsyliarne zasilały plan leczenia/etapy opieki, były widoczne dla koordynatora i umożliwiały ocenę jakości (terminowość, realizacja zaleceń). W przeciwnym razie konsylium stanie się dokumentem „obok” e</w:t>
            </w:r>
            <w:r w:rsidRPr="001941B0">
              <w:rPr>
                <w:rFonts w:ascii="Cambria Math" w:hAnsi="Cambria Math" w:cs="Cambria Math"/>
                <w:bCs/>
                <w:iCs/>
                <w:sz w:val="20"/>
                <w:szCs w:val="20"/>
              </w:rPr>
              <w:t>‑</w:t>
            </w:r>
            <w:r w:rsidRPr="001941B0">
              <w:rPr>
                <w:rFonts w:cs="Calibri"/>
                <w:bCs/>
                <w:iCs/>
                <w:sz w:val="20"/>
                <w:szCs w:val="20"/>
              </w:rPr>
              <w:t>KoK, bez wp</w:t>
            </w:r>
            <w:r w:rsidRPr="001941B0">
              <w:rPr>
                <w:rFonts w:cs="Aptos"/>
                <w:bCs/>
                <w:iCs/>
                <w:sz w:val="20"/>
                <w:szCs w:val="20"/>
              </w:rPr>
              <w:t>ł</w:t>
            </w:r>
            <w:r w:rsidRPr="001941B0">
              <w:rPr>
                <w:rFonts w:cs="Calibri"/>
                <w:bCs/>
                <w:iCs/>
                <w:sz w:val="20"/>
                <w:szCs w:val="20"/>
              </w:rPr>
              <w:t>ywu na ci</w:t>
            </w:r>
            <w:r w:rsidRPr="001941B0">
              <w:rPr>
                <w:rFonts w:cs="Aptos"/>
                <w:bCs/>
                <w:iCs/>
                <w:sz w:val="20"/>
                <w:szCs w:val="20"/>
              </w:rPr>
              <w:t>ą</w:t>
            </w:r>
            <w:r w:rsidRPr="001941B0">
              <w:rPr>
                <w:rFonts w:cs="Calibri"/>
                <w:bCs/>
                <w:iCs/>
                <w:sz w:val="20"/>
                <w:szCs w:val="20"/>
              </w:rPr>
              <w:t>g</w:t>
            </w:r>
            <w:r w:rsidRPr="001941B0">
              <w:rPr>
                <w:rFonts w:cs="Aptos"/>
                <w:bCs/>
                <w:iCs/>
                <w:sz w:val="20"/>
                <w:szCs w:val="20"/>
              </w:rPr>
              <w:t>ł</w:t>
            </w:r>
            <w:r w:rsidRPr="001941B0">
              <w:rPr>
                <w:rFonts w:cs="Calibri"/>
                <w:bCs/>
                <w:iCs/>
                <w:sz w:val="20"/>
                <w:szCs w:val="20"/>
              </w:rPr>
              <w:t>o</w:t>
            </w:r>
            <w:r w:rsidRPr="001941B0">
              <w:rPr>
                <w:rFonts w:cs="Aptos"/>
                <w:bCs/>
                <w:iCs/>
                <w:sz w:val="20"/>
                <w:szCs w:val="20"/>
              </w:rPr>
              <w:t>ść</w:t>
            </w:r>
            <w:r w:rsidRPr="001941B0">
              <w:rPr>
                <w:rFonts w:cs="Calibri"/>
                <w:bCs/>
                <w:iCs/>
                <w:sz w:val="20"/>
                <w:szCs w:val="20"/>
              </w:rPr>
              <w:t xml:space="preserve"> opieki.</w:t>
            </w:r>
          </w:p>
          <w:p w14:paraId="61BDCC27"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lastRenderedPageBreak/>
              <w:t>Propozycje rozwiązań:</w:t>
            </w:r>
          </w:p>
          <w:p w14:paraId="2D2BAA2C" w14:textId="494DD487" w:rsidR="00306E53" w:rsidRPr="001941B0" w:rsidRDefault="00306E53" w:rsidP="006E0CB2">
            <w:pPr>
              <w:autoSpaceDE w:val="0"/>
              <w:autoSpaceDN w:val="0"/>
              <w:adjustRightInd w:val="0"/>
              <w:spacing w:after="0" w:line="240" w:lineRule="auto"/>
              <w:rPr>
                <w:bCs/>
                <w:iCs/>
                <w:sz w:val="20"/>
                <w:szCs w:val="20"/>
              </w:rPr>
            </w:pPr>
            <w:r w:rsidRPr="001941B0">
              <w:rPr>
                <w:rFonts w:cs="Calibri"/>
                <w:bCs/>
                <w:iCs/>
                <w:sz w:val="20"/>
                <w:szCs w:val="20"/>
              </w:rPr>
              <w:t>Dopisać wymóg (organizacyjny/techniczny) automatycznego przypięcia karty/opisu e</w:t>
            </w:r>
            <w:r w:rsidRPr="001941B0">
              <w:rPr>
                <w:rFonts w:ascii="Cambria Math" w:hAnsi="Cambria Math" w:cs="Cambria Math"/>
                <w:bCs/>
                <w:iCs/>
                <w:sz w:val="20"/>
                <w:szCs w:val="20"/>
              </w:rPr>
              <w:t>‑</w:t>
            </w:r>
            <w:r w:rsidRPr="001941B0">
              <w:rPr>
                <w:rFonts w:cs="Calibri"/>
                <w:bCs/>
                <w:iCs/>
                <w:sz w:val="20"/>
                <w:szCs w:val="20"/>
              </w:rPr>
              <w:t>konsylium do e</w:t>
            </w:r>
            <w:r w:rsidRPr="001941B0">
              <w:rPr>
                <w:rFonts w:ascii="Cambria Math" w:hAnsi="Cambria Math" w:cs="Cambria Math"/>
                <w:bCs/>
                <w:iCs/>
                <w:sz w:val="20"/>
                <w:szCs w:val="20"/>
              </w:rPr>
              <w:t>‑</w:t>
            </w:r>
            <w:r w:rsidRPr="001941B0">
              <w:rPr>
                <w:rFonts w:cs="Calibri"/>
                <w:bCs/>
                <w:iCs/>
                <w:sz w:val="20"/>
                <w:szCs w:val="20"/>
              </w:rPr>
              <w:t>KoK u pacjent</w:t>
            </w:r>
            <w:r w:rsidRPr="001941B0">
              <w:rPr>
                <w:rFonts w:cs="Aptos"/>
                <w:bCs/>
                <w:iCs/>
                <w:sz w:val="20"/>
                <w:szCs w:val="20"/>
              </w:rPr>
              <w:t>ó</w:t>
            </w:r>
            <w:r w:rsidRPr="001941B0">
              <w:rPr>
                <w:rFonts w:cs="Calibri"/>
                <w:bCs/>
                <w:iCs/>
                <w:sz w:val="20"/>
                <w:szCs w:val="20"/>
              </w:rPr>
              <w:t>w w KSK (linkowanie identyfikatorami, status etapu/zalecenia). Okre</w:t>
            </w:r>
            <w:r w:rsidRPr="001941B0">
              <w:rPr>
                <w:rFonts w:cs="Aptos"/>
                <w:bCs/>
                <w:iCs/>
                <w:sz w:val="20"/>
                <w:szCs w:val="20"/>
              </w:rPr>
              <w:t>ś</w:t>
            </w:r>
            <w:r w:rsidRPr="001941B0">
              <w:rPr>
                <w:rFonts w:cs="Calibri"/>
                <w:bCs/>
                <w:iCs/>
                <w:sz w:val="20"/>
                <w:szCs w:val="20"/>
              </w:rPr>
              <w:t>li</w:t>
            </w:r>
            <w:r w:rsidRPr="001941B0">
              <w:rPr>
                <w:rFonts w:cs="Aptos"/>
                <w:bCs/>
                <w:iCs/>
                <w:sz w:val="20"/>
                <w:szCs w:val="20"/>
              </w:rPr>
              <w:t>ć</w:t>
            </w:r>
            <w:r w:rsidRPr="001941B0">
              <w:rPr>
                <w:rFonts w:cs="Calibri"/>
                <w:bCs/>
                <w:iCs/>
                <w:sz w:val="20"/>
                <w:szCs w:val="20"/>
              </w:rPr>
              <w:t xml:space="preserve"> minimalny zakres struktury danych wyniku konsylium (zalecenia, pilno</w:t>
            </w:r>
            <w:r w:rsidRPr="001941B0">
              <w:rPr>
                <w:rFonts w:cs="Aptos"/>
                <w:bCs/>
                <w:iCs/>
                <w:sz w:val="20"/>
                <w:szCs w:val="20"/>
              </w:rPr>
              <w:t>ść</w:t>
            </w:r>
            <w:r w:rsidRPr="001941B0">
              <w:rPr>
                <w:rFonts w:cs="Calibri"/>
                <w:bCs/>
                <w:iCs/>
                <w:sz w:val="20"/>
                <w:szCs w:val="20"/>
              </w:rPr>
              <w:t>, odpowiedzialny, termin).</w:t>
            </w:r>
          </w:p>
        </w:tc>
        <w:tc>
          <w:tcPr>
            <w:tcW w:w="2855" w:type="dxa"/>
            <w:shd w:val="clear" w:color="auto" w:fill="FFFFFF" w:themeFill="background1"/>
          </w:tcPr>
          <w:p w14:paraId="49DF0926" w14:textId="48EA3A92" w:rsidR="00306E53" w:rsidRPr="001941B0" w:rsidRDefault="00306E53" w:rsidP="006E0CB2">
            <w:pPr>
              <w:autoSpaceDE w:val="0"/>
              <w:autoSpaceDN w:val="0"/>
              <w:adjustRightInd w:val="0"/>
              <w:spacing w:after="0" w:line="240" w:lineRule="auto"/>
              <w:rPr>
                <w:b/>
                <w:sz w:val="20"/>
                <w:szCs w:val="20"/>
              </w:rPr>
            </w:pPr>
            <w:r w:rsidRPr="001941B0">
              <w:rPr>
                <w:b/>
                <w:bCs/>
                <w:sz w:val="20"/>
                <w:szCs w:val="20"/>
              </w:rPr>
              <w:lastRenderedPageBreak/>
              <w:t>Uwaga uwzględniona</w:t>
            </w:r>
          </w:p>
          <w:p w14:paraId="1647B045" w14:textId="7967221D" w:rsidR="00306E53" w:rsidRPr="001941B0" w:rsidRDefault="00EF7048" w:rsidP="006E0CB2">
            <w:pPr>
              <w:autoSpaceDE w:val="0"/>
              <w:autoSpaceDN w:val="0"/>
              <w:adjustRightInd w:val="0"/>
              <w:spacing w:after="0" w:line="240" w:lineRule="auto"/>
              <w:rPr>
                <w:sz w:val="20"/>
                <w:szCs w:val="20"/>
              </w:rPr>
            </w:pPr>
            <w:r w:rsidRPr="001941B0">
              <w:rPr>
                <w:sz w:val="20"/>
                <w:szCs w:val="20"/>
              </w:rPr>
              <w:t>.</w:t>
            </w:r>
          </w:p>
          <w:p w14:paraId="7714D1FC" w14:textId="77777777" w:rsidR="001D2A4D" w:rsidRPr="001941B0" w:rsidRDefault="001D2A4D" w:rsidP="006E0CB2">
            <w:pPr>
              <w:autoSpaceDE w:val="0"/>
              <w:autoSpaceDN w:val="0"/>
              <w:adjustRightInd w:val="0"/>
              <w:spacing w:after="0" w:line="240" w:lineRule="auto"/>
              <w:rPr>
                <w:sz w:val="20"/>
                <w:szCs w:val="20"/>
              </w:rPr>
            </w:pPr>
          </w:p>
          <w:p w14:paraId="7F2C170C" w14:textId="00B4B43D" w:rsidR="00306E53" w:rsidRPr="001941B0" w:rsidRDefault="003A7D33" w:rsidP="006E0CB2">
            <w:pPr>
              <w:autoSpaceDE w:val="0"/>
              <w:autoSpaceDN w:val="0"/>
              <w:adjustRightInd w:val="0"/>
              <w:spacing w:after="0" w:line="240" w:lineRule="auto"/>
              <w:rPr>
                <w:sz w:val="20"/>
                <w:szCs w:val="20"/>
              </w:rPr>
            </w:pPr>
            <w:r w:rsidRPr="001941B0">
              <w:rPr>
                <w:sz w:val="20"/>
                <w:szCs w:val="20"/>
              </w:rPr>
              <w:t xml:space="preserve">Dane e-Konsylium będą mogły referować do karty e-KOK. Dostępność wyniku może być zrealizowana w dwóch wymiarach – OK1/2/3 zaktualizuje plan w karcie lub </w:t>
            </w:r>
            <w:r w:rsidRPr="001941B0">
              <w:rPr>
                <w:sz w:val="20"/>
                <w:szCs w:val="20"/>
              </w:rPr>
              <w:lastRenderedPageBreak/>
              <w:t>informacja o konsylium (wynik) powinna być dostępna dla wszystkich placówek mających dostęp do eKOK. Aktualnie nie jest to uwzględnione w systemie.</w:t>
            </w:r>
          </w:p>
        </w:tc>
      </w:tr>
      <w:tr w:rsidR="00FC7212" w:rsidRPr="001941B0" w14:paraId="132984B8" w14:textId="77777777" w:rsidTr="7139DBB9">
        <w:tc>
          <w:tcPr>
            <w:tcW w:w="1125" w:type="dxa"/>
            <w:shd w:val="clear" w:color="auto" w:fill="FFFFFF" w:themeFill="background1"/>
          </w:tcPr>
          <w:p w14:paraId="4B64586B"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3A0D550" w14:textId="55EAD82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Polskie Centrum Badań i Certyfikacji S.A.</w:t>
            </w:r>
          </w:p>
        </w:tc>
        <w:tc>
          <w:tcPr>
            <w:tcW w:w="1949" w:type="dxa"/>
            <w:shd w:val="clear" w:color="auto" w:fill="FFFFFF" w:themeFill="background1"/>
          </w:tcPr>
          <w:p w14:paraId="2C24531A" w14:textId="71A9E1A0"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Artykuł 5 pkt 9)</w:t>
            </w:r>
          </w:p>
        </w:tc>
        <w:tc>
          <w:tcPr>
            <w:tcW w:w="5652" w:type="dxa"/>
            <w:shd w:val="clear" w:color="auto" w:fill="FFFFFF" w:themeFill="background1"/>
          </w:tcPr>
          <w:p w14:paraId="7295CBBD"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Jak wskazano w uzasadnieniu celem projektu jest „wprowadzenie rozwiązań wspierających transformację cyfrową państwa, które służyć będą rozwojowi usług dotyczących e-zdrowia. Projekt ustawy zapewni sprawne i efektywne działania systemu ochrony zdrowia. Co istotne, wejście w życie projektu ustawy jest również niezbędne do realizacji inwestycji D1.1.2 „Przyśpieszenie procesów transformacji cyfrowej ochrony zdrowia przez dalszy rozwój usług cyfrowych w ochronie zdrowia” Krajowego Planu Odbudowy i Zwiększania Odporności.” Wśród proponowanych zmian zakłada się wprowadzenie nowej funkcjonalności – System Domowej Opieki Medycznej, który będzie stanowił moduł SIM umożliwiający gromadzenie informacji o stanie zdrowia pacjenta w celu monitorowania stanu zdrowia i zapewnienia pacjentowi opieki zdrowotnej adekwatnej do jego stanu zdrowia.</w:t>
            </w:r>
          </w:p>
          <w:p w14:paraId="77B6165B"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Niepokój w zakresie art. 5 pkt 9 projektu ustawy budzi zakres danych, które będą gromadzone w Systemie Domowej Opieki Medycznej. Zgodnie bowiem z założeniem na zlecenie lekarza i za zgodą pacjenta w Systemie mają być gromadzone informacje pochodzące z wyrobów medycznych albo </w:t>
            </w:r>
            <w:r w:rsidRPr="001941B0">
              <w:rPr>
                <w:rFonts w:cs="Calibri"/>
                <w:bCs/>
                <w:iCs/>
                <w:sz w:val="20"/>
                <w:szCs w:val="20"/>
                <w:u w:val="single"/>
              </w:rPr>
              <w:t>aplikacji wspierających dobrostan</w:t>
            </w:r>
            <w:r w:rsidRPr="001941B0">
              <w:rPr>
                <w:rFonts w:cs="Calibri"/>
                <w:bCs/>
                <w:iCs/>
                <w:sz w:val="20"/>
                <w:szCs w:val="20"/>
              </w:rPr>
              <w:t xml:space="preserve"> stosowanych przez pacjenta.</w:t>
            </w:r>
          </w:p>
          <w:p w14:paraId="1F84954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O ile w przypadku wyrobów medycznych istnieje jasność, o jakie produkty chodzi, a przepisy (przede wszystkim wymogi określone rozporządzeniem (UE) 2017/745) jasno określają wymogi, które takie wyroby muszą spełniać, o tyle niejasne jest co projektodawcy rozumieją pod pojęciem „aplikacji wspierających dobrostan”. Obawy budzi zatem fakt, że oddzielenie tych dwóch rodzajów produktów oznacza, że na równi w systemie ochrony zdrowia będą traktowane wyniki </w:t>
            </w:r>
            <w:r w:rsidRPr="001941B0">
              <w:rPr>
                <w:rFonts w:cs="Calibri"/>
                <w:bCs/>
                <w:iCs/>
                <w:sz w:val="20"/>
                <w:szCs w:val="20"/>
              </w:rPr>
              <w:lastRenderedPageBreak/>
              <w:t>pomiarów z urządzeń niepodlegających standaryzacji z tymi, które podlegają wymogom dla wyrobów medycznych.</w:t>
            </w:r>
          </w:p>
          <w:p w14:paraId="3C5F6DC8"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Przypomnieć należy, że zgodnie z rozporządzeniem (UE) 2017/745 za wyrób medyczny uznaje się narzędzie, aparat, urządzenie, oprogramowanie, implant, odczynnik, materiał lub inny artykuł przewidziany przez producenta do stosowania – pojedynczo lub łącznie – u ludzi do co najmniej jednego z następujących szczególnych zastosowań medycznych: </w:t>
            </w:r>
          </w:p>
          <w:p w14:paraId="340352D8"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 diagnozowanie, profilaktyka, monitorowanie, przewidywanie, prognozowanie, leczenie lub łagodzenie choroby, </w:t>
            </w:r>
          </w:p>
          <w:p w14:paraId="7E8E035A"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 diagnozowanie, monitorowanie, leczenie, łagodzenie lub kompensowanie urazu lub niepełnosprawności, </w:t>
            </w:r>
          </w:p>
          <w:p w14:paraId="2923A090"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 badanie, zastępowanie lub modyfikowanie budowy anatomicznej lub procesu lub stanu fizjologicznego lub chorobowego, </w:t>
            </w:r>
          </w:p>
          <w:p w14:paraId="56D37A5F"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 dostarczanie informacji poprzez badanie in vitro próbek pobranych z organizmu ludzkiego, w tym pobranych od dawców narządów, krwi i tkanek, i który nie osiąga swojego zasadniczego przewidzianego działania środkami farmakologicznymi, immunologicznymi lub metabolicznymi w ludzkim ciele lub na nim, ale którego działanie może być wspomagane takimi środkami. </w:t>
            </w:r>
          </w:p>
          <w:p w14:paraId="0A0A61FC"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Podkreślenia wymaga, że wyroby medyczne </w:t>
            </w:r>
            <w:r w:rsidRPr="001941B0">
              <w:rPr>
                <w:rFonts w:cs="Calibri"/>
                <w:bCs/>
                <w:iCs/>
                <w:sz w:val="20"/>
                <w:szCs w:val="20"/>
                <w:u w:val="single"/>
              </w:rPr>
              <w:t>muszą spełniać rygorystyczne wymagania</w:t>
            </w:r>
            <w:r w:rsidRPr="001941B0">
              <w:rPr>
                <w:rFonts w:cs="Calibri"/>
                <w:bCs/>
                <w:iCs/>
                <w:sz w:val="20"/>
                <w:szCs w:val="20"/>
              </w:rPr>
              <w:t xml:space="preserve"> (zapewnić dowody kliniczne wskazujące na ich bezpieczeństwo i skuteczność), posiadać znak CE, wyrób musi być zgłoszony do Urzędu Rejestracji Produktów Leczniczych, Wyrobów Medycznych i Produktów Biobójczych. </w:t>
            </w:r>
            <w:r w:rsidRPr="001941B0">
              <w:rPr>
                <w:rFonts w:cs="Calibri"/>
                <w:bCs/>
                <w:iCs/>
                <w:sz w:val="20"/>
                <w:szCs w:val="20"/>
                <w:u w:val="single"/>
              </w:rPr>
              <w:t>Wyroby takie przeznaczone są do celów terapeutycznych labo diagnostycznych.</w:t>
            </w:r>
            <w:r w:rsidRPr="001941B0">
              <w:rPr>
                <w:rFonts w:cs="Calibri"/>
                <w:bCs/>
                <w:iCs/>
                <w:sz w:val="20"/>
                <w:szCs w:val="20"/>
              </w:rPr>
              <w:t xml:space="preserve"> Inne produkty (typu „wellness” czy „fitness”) nie muszą spełniać takich wymogów, a co za tym idzie ich pomiary mają generalnie charakter informacyjny, a nie diagnostyczny. Nie mogą zatem stanowić miarodajnych wyników, na podstawie których lekarz będzie oceniał stan zdrowia pacjenta i zapewniał opiekę zdrowotną adekwatną do jego stanu zdrowia. </w:t>
            </w:r>
          </w:p>
          <w:p w14:paraId="4B5DC15C"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lastRenderedPageBreak/>
              <w:t xml:space="preserve">Uwzględniając powyższe w ocenie PCBC S.A. opieranie opieki zdrowotnej na produktach, wobec których nie wymaga się spełnienia rygorystycznych norm i udowodnienia ich bezpieczeństwa i skuteczności może prowadzić do nieprawidłowej oceny stanu zdrowia pacjenta, a co za tym idzie może prowadzić do opóźnienia wdrożenia właściwej ścieżki terapeutycznej. </w:t>
            </w:r>
          </w:p>
          <w:p w14:paraId="0894DBA6" w14:textId="66CFC4D4"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Tym samym wnoszę o usunięcie zapisu umożliwiającego dopuszczenie do Systemu Domowej Opieki Medycznej niecertyfikowanych „aplikacji wspierających dobrostan”.</w:t>
            </w:r>
          </w:p>
        </w:tc>
        <w:tc>
          <w:tcPr>
            <w:tcW w:w="2855" w:type="dxa"/>
            <w:shd w:val="clear" w:color="auto" w:fill="FFFFFF" w:themeFill="background1"/>
          </w:tcPr>
          <w:p w14:paraId="7AB204AD" w14:textId="65465FD0" w:rsidR="00306E53" w:rsidRPr="001941B0" w:rsidRDefault="00B42CB4" w:rsidP="006E0CB2">
            <w:pPr>
              <w:autoSpaceDE w:val="0"/>
              <w:autoSpaceDN w:val="0"/>
              <w:adjustRightInd w:val="0"/>
              <w:spacing w:after="0" w:line="240" w:lineRule="auto"/>
              <w:rPr>
                <w:b/>
                <w:sz w:val="20"/>
                <w:szCs w:val="20"/>
              </w:rPr>
            </w:pPr>
            <w:r w:rsidRPr="001941B0">
              <w:rPr>
                <w:b/>
                <w:sz w:val="20"/>
                <w:szCs w:val="20"/>
              </w:rPr>
              <w:lastRenderedPageBreak/>
              <w:t>Wyjaśnienie</w:t>
            </w:r>
          </w:p>
          <w:p w14:paraId="51BB228E" w14:textId="55BC4977" w:rsidR="00306E53" w:rsidRPr="001941B0" w:rsidRDefault="00306E53" w:rsidP="006E0CB2">
            <w:pPr>
              <w:autoSpaceDE w:val="0"/>
              <w:autoSpaceDN w:val="0"/>
              <w:adjustRightInd w:val="0"/>
              <w:spacing w:after="0" w:line="240" w:lineRule="auto"/>
              <w:rPr>
                <w:sz w:val="20"/>
                <w:szCs w:val="20"/>
              </w:rPr>
            </w:pPr>
            <w:r w:rsidRPr="001941B0">
              <w:rPr>
                <w:sz w:val="20"/>
                <w:szCs w:val="20"/>
              </w:rPr>
              <w:t>W systemie DOM zostaną rozróżnione dane pochodzące z wyrobów medycznych i aplikacji wspierających dobrostan. W przypadku tych ostatnich zakres będzie pokrywał się z def</w:t>
            </w:r>
            <w:r w:rsidR="00B10607" w:rsidRPr="001941B0">
              <w:rPr>
                <w:sz w:val="20"/>
                <w:szCs w:val="20"/>
              </w:rPr>
              <w:t>inicją</w:t>
            </w:r>
            <w:r w:rsidRPr="001941B0">
              <w:rPr>
                <w:sz w:val="20"/>
                <w:szCs w:val="20"/>
              </w:rPr>
              <w:t xml:space="preserve"> z </w:t>
            </w:r>
            <w:r w:rsidRPr="001941B0">
              <w:rPr>
                <w:rFonts w:eastAsia="Aptos" w:cs="Aptos"/>
                <w:sz w:val="20"/>
                <w:szCs w:val="20"/>
              </w:rPr>
              <w:t>ROZPORZĄDZENIA PARLAMENTU EUROPEJSKIEGO I RADY (UE) 2025/327 z dnia 11 lutego 2025 r. w sprawie europejskiej przestrzeni danych dotyczących zdrowia oraz zmiany dyrektywy 2011/24/UE i rozporządzenia (UE) 2024/2847</w:t>
            </w:r>
            <w:r w:rsidR="00EB5085" w:rsidRPr="001941B0">
              <w:rPr>
                <w:rFonts w:eastAsia="Aptos" w:cs="Aptos"/>
                <w:sz w:val="20"/>
                <w:szCs w:val="20"/>
              </w:rPr>
              <w:t>.</w:t>
            </w:r>
          </w:p>
        </w:tc>
      </w:tr>
      <w:tr w:rsidR="00FC7212" w:rsidRPr="001941B0" w14:paraId="4047F015" w14:textId="77777777" w:rsidTr="7139DBB9">
        <w:tc>
          <w:tcPr>
            <w:tcW w:w="1125" w:type="dxa"/>
            <w:shd w:val="clear" w:color="auto" w:fill="FFFFFF" w:themeFill="background1"/>
          </w:tcPr>
          <w:p w14:paraId="1C69CF45" w14:textId="77777777" w:rsidR="00D1708D" w:rsidRPr="001941B0" w:rsidRDefault="00D1708D"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2413EBE" w14:textId="772CF0BD" w:rsidR="00D1708D" w:rsidRPr="001941B0" w:rsidRDefault="00D1708D" w:rsidP="006E0CB2">
            <w:pPr>
              <w:autoSpaceDE w:val="0"/>
              <w:autoSpaceDN w:val="0"/>
              <w:adjustRightInd w:val="0"/>
              <w:spacing w:after="0" w:line="240" w:lineRule="auto"/>
              <w:rPr>
                <w:rFonts w:cs="Calibri"/>
                <w:bCs/>
                <w:iCs/>
                <w:sz w:val="20"/>
                <w:szCs w:val="20"/>
              </w:rPr>
            </w:pPr>
            <w:r w:rsidRPr="001941B0">
              <w:rPr>
                <w:rFonts w:cs="Calibri"/>
                <w:bCs/>
                <w:sz w:val="20"/>
                <w:szCs w:val="20"/>
              </w:rPr>
              <w:t>Lotnicze Pogotowie Ratunkowe</w:t>
            </w:r>
          </w:p>
        </w:tc>
        <w:tc>
          <w:tcPr>
            <w:tcW w:w="1949" w:type="dxa"/>
            <w:shd w:val="clear" w:color="auto" w:fill="FFFFFF" w:themeFill="background1"/>
          </w:tcPr>
          <w:p w14:paraId="2B22F8E5" w14:textId="12C14A7A" w:rsidR="00D1708D" w:rsidRPr="001941B0" w:rsidRDefault="00911446" w:rsidP="006E0CB2">
            <w:pPr>
              <w:autoSpaceDE w:val="0"/>
              <w:autoSpaceDN w:val="0"/>
              <w:adjustRightInd w:val="0"/>
              <w:spacing w:after="0" w:line="240" w:lineRule="auto"/>
              <w:rPr>
                <w:rFonts w:cs="Calibri"/>
                <w:sz w:val="20"/>
                <w:szCs w:val="20"/>
              </w:rPr>
            </w:pPr>
            <w:r>
              <w:rPr>
                <w:rFonts w:cs="Calibri"/>
                <w:sz w:val="20"/>
                <w:szCs w:val="20"/>
              </w:rPr>
              <w:t>A</w:t>
            </w:r>
            <w:r w:rsidR="001277D2" w:rsidRPr="001941B0">
              <w:rPr>
                <w:rFonts w:cs="Calibri"/>
                <w:sz w:val="20"/>
                <w:szCs w:val="20"/>
              </w:rPr>
              <w:t>rt. 5 pkt 11</w:t>
            </w:r>
          </w:p>
          <w:p w14:paraId="2F708600" w14:textId="77777777" w:rsidR="00FB5B4C" w:rsidRPr="001941B0" w:rsidRDefault="00FB5B4C" w:rsidP="006E0CB2">
            <w:pPr>
              <w:autoSpaceDE w:val="0"/>
              <w:autoSpaceDN w:val="0"/>
              <w:adjustRightInd w:val="0"/>
              <w:spacing w:after="0" w:line="240" w:lineRule="auto"/>
              <w:rPr>
                <w:rFonts w:cs="Calibri"/>
                <w:sz w:val="20"/>
                <w:szCs w:val="20"/>
              </w:rPr>
            </w:pPr>
          </w:p>
          <w:p w14:paraId="3C10CD19" w14:textId="702A2008" w:rsidR="00D1708D" w:rsidRPr="001941B0" w:rsidRDefault="00D1708D"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6777DCF7" w14:textId="77777777" w:rsidR="00272394" w:rsidRPr="001941B0" w:rsidRDefault="00272394" w:rsidP="006E0CB2">
            <w:pPr>
              <w:autoSpaceDE w:val="0"/>
              <w:autoSpaceDN w:val="0"/>
              <w:adjustRightInd w:val="0"/>
              <w:spacing w:after="0" w:line="240" w:lineRule="auto"/>
              <w:rPr>
                <w:rFonts w:eastAsiaTheme="minorEastAsia"/>
                <w:b/>
                <w:bCs/>
                <w:sz w:val="20"/>
                <w:szCs w:val="20"/>
              </w:rPr>
            </w:pPr>
            <w:r w:rsidRPr="001941B0">
              <w:rPr>
                <w:rFonts w:eastAsiaTheme="minorEastAsia"/>
                <w:b/>
                <w:bCs/>
                <w:sz w:val="20"/>
                <w:szCs w:val="20"/>
              </w:rPr>
              <w:t>Treść komentowanego przepisu</w:t>
            </w:r>
          </w:p>
          <w:p w14:paraId="166E0814"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ust. 1 i 2 otrzymuje brzmienie:</w:t>
            </w:r>
          </w:p>
          <w:p w14:paraId="16389FC4"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„1. Usługodawca może dokonać zmiany dokumentacji medycznej prowadzonej i przechowywanej w postaci papierowej na postać elektroniczną, zwanej dalej ,,digitalizacją dokumentacji medycznej”.</w:t>
            </w:r>
          </w:p>
          <w:p w14:paraId="1555D409"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2. Digitalizacja dokumentacji medycznej następuje przez sporządzenie jej odwzorowania cyfrowego i opatrzenie go kwalifikowanym podpisem elektronicznym, podpisem zaufanym, podpisem osobistym lub pieczęcią elektroniczną przez osobę upoważnioną przez usługodawcę do potwierdzenia zgodności odwzorowania cyfrowego z dokumentem w postaci papierowej.”,</w:t>
            </w:r>
          </w:p>
          <w:p w14:paraId="18B408BB"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b) po ust. 2 dodaje się ust. 2a–2c w brzmieniu:</w:t>
            </w:r>
          </w:p>
          <w:p w14:paraId="4DBFAEE5"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„2a. Digitalizacja dokumentacji medycznej może nastąpić również przez sporządzenie jej odwzorowania cyfrowego za pomocą narzędzia informatycznego i</w:t>
            </w:r>
          </w:p>
          <w:p w14:paraId="4DA5738A"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opatrzenie go kwalifikowanym podpisem elektronicznym, podpisem zaufanym, podpisem osobistym lub pieczęcią elektroniczną przez osobę upoważnioną przez usługodawcę do potwierdzenia zgodności odwzorowania cyfrowego z dokumentem w postaci papierowej.</w:t>
            </w:r>
          </w:p>
          <w:p w14:paraId="5F4E41A2"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2b. Jednostka podległa ministrowi właściwemu do spraw zdrowia, właściwa w zakresie systemów informacyjnych ochrony zdrowia może udostępniać nieodpłatnie narzędzie informatyczne przeznaczone do digitalizacji dokumentacji medycznej.</w:t>
            </w:r>
          </w:p>
          <w:p w14:paraId="5838CF26"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lastRenderedPageBreak/>
              <w:t>2c. Minister właściwy do spraw zdrowia zamieszcza w Biuletynie Informacji Publicznej tego ministra wykaz dokumentacji medycznej możliwej do digitalizacji</w:t>
            </w:r>
          </w:p>
          <w:p w14:paraId="166FC2D8"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przy jego użyciu.”,</w:t>
            </w:r>
          </w:p>
          <w:p w14:paraId="58928A5F" w14:textId="77777777" w:rsidR="009F4485"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c) po ust. 4 dodaje się ust. 4a w brzmieniu:</w:t>
            </w:r>
          </w:p>
          <w:p w14:paraId="14CE3AC9" w14:textId="77777777" w:rsidR="00D1708D" w:rsidRPr="001941B0" w:rsidRDefault="009F4485" w:rsidP="006E0CB2">
            <w:pPr>
              <w:autoSpaceDE w:val="0"/>
              <w:autoSpaceDN w:val="0"/>
              <w:adjustRightInd w:val="0"/>
              <w:spacing w:after="0" w:line="240" w:lineRule="auto"/>
              <w:rPr>
                <w:rFonts w:cs="Calibri"/>
                <w:bCs/>
                <w:iCs/>
                <w:sz w:val="20"/>
                <w:szCs w:val="20"/>
              </w:rPr>
            </w:pPr>
            <w:r w:rsidRPr="001941B0">
              <w:rPr>
                <w:rFonts w:cs="Calibri"/>
                <w:bCs/>
                <w:iCs/>
                <w:sz w:val="20"/>
                <w:szCs w:val="20"/>
              </w:rPr>
              <w:t>„4a. Podmiot udzielający świadczeń zdrowotnych może przekazać do SIM dokument powstały w wyniku digitalizacji, przy użyciu narzędzia, o którym mowa w ust. 2a.”;</w:t>
            </w:r>
          </w:p>
          <w:p w14:paraId="2C18D497" w14:textId="77777777" w:rsidR="009F4485" w:rsidRPr="001941B0" w:rsidRDefault="009F4485" w:rsidP="006E0CB2">
            <w:pPr>
              <w:autoSpaceDE w:val="0"/>
              <w:autoSpaceDN w:val="0"/>
              <w:adjustRightInd w:val="0"/>
              <w:spacing w:after="0" w:line="240" w:lineRule="auto"/>
              <w:rPr>
                <w:rFonts w:eastAsiaTheme="minorEastAsia"/>
                <w:bCs/>
                <w:sz w:val="20"/>
                <w:szCs w:val="20"/>
              </w:rPr>
            </w:pPr>
            <w:r w:rsidRPr="001941B0">
              <w:rPr>
                <w:rFonts w:eastAsiaTheme="minorEastAsia"/>
                <w:b/>
                <w:bCs/>
                <w:sz w:val="20"/>
                <w:szCs w:val="20"/>
              </w:rPr>
              <w:t>Treść uwagi</w:t>
            </w:r>
          </w:p>
          <w:p w14:paraId="71DCD969" w14:textId="77777777" w:rsidR="00752EB5" w:rsidRPr="001941B0" w:rsidRDefault="00752EB5"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W obszarze digitalizacji dokumentacji medycznej - zmiana wprowadza możliwość opatrzenia zdigitalizowanego dokumentu pieczęcią świadczeniodawcy. Dodatkowo, przewiduje się możliwość dokonania odwzorowania cyfrowego za pomocą narzędzia informatycznego, przygotowanego i udostępnionego przez CEZ. Można zgłosić ewentualną wątpliwość co do relacji tego rozwiązania z § 44 rozporządzenia ws. dokumentacji medycznej, zgodnie z którym w przypadku awarii SWD PRM, dokumentacja prowadzona jest w postaci papierowej, natomiast po ustaniu awarii - jest odtwarzana w SWD PRM i digitalizowana na zasadach określonych w ustawie o SIOZ. Czy w takim przypadku, dysponent ZRM/LZRM zobowiązany będzie do odtworzenia (przepisania) dokumentacji w SWD, natomiast digitalizacja postaci papierowej nastąpi oddzielnie, poprzez narzędzie CEZ? W takim wypadku, mielibyśmy w jednym miejscu (SWD PRM) odtworzoną dokumentację, natomiast zdigitalizowany oryginał w innym miejscu (chyba SIM?). </w:t>
            </w:r>
          </w:p>
          <w:p w14:paraId="6B991C42" w14:textId="7B04873A" w:rsidR="009F4485" w:rsidRPr="001941B0" w:rsidRDefault="00752EB5"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Niezależnie od zaproponowanych w projekcie zmian, zasadnym jest doprecyzowanie w kontekście przepisów o digitalizacji terminu odwzorowania cyfrowego, poprzez odniesienie do niego np. wymagań dotyczących określenia minimalnych parametrów jakościowych sporządzonej wersji cyfrowej dokumentu. Ustawa SIOZ nie precyzuje, jakie wymogi w zakresie czytelności lub rozdzielczości dokument musi spełniać, żeby można było mówić o prawidłowej realizacji jego odwzorowania cyfrowego i w konsekwencji, dokonania digitalizacji zgodnie z obowiązującymi przepisami. Jest to </w:t>
            </w:r>
            <w:r w:rsidRPr="001941B0">
              <w:rPr>
                <w:rFonts w:cs="Calibri"/>
                <w:bCs/>
                <w:iCs/>
                <w:sz w:val="20"/>
                <w:szCs w:val="20"/>
              </w:rPr>
              <w:lastRenderedPageBreak/>
              <w:t>szczególnie istotne w kontekście wskazanego w ww. przepisie rozporządzenia ws. dokumentacji medycznej obowiązku zniszczenia papierowego oryginału dokumentu po dokonaniu jego digitalizacji. Wykonanie odwzorowania cyfrowego w sposób budzący wątpliwości, tj. poprzez wykonanie zdjęcia niskiej jakości, nieczytelnego lub obrazującego niepełny dokument przy jednoczesnym zniszczeniu papierowego oryginału, uniemożliwi dostęp do treści dokumentacji medycznej. Próba zdefiniowania odwzorowania cyfrowego zawarta została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(akt wykonawczy do ustawy PZP) - zgodnie z § 6 ust. 5 rozporządzenia, przez odwzorowanie cyfrowe należy rozumieć dokument elektroniczny będący kopią elektroniczną treści zapisanej w postaci papierowej, umożliwiający zapoznanie się z tą treścią i jej zrozumienie, bez konieczności bezpośredniego dostępu do oryginału. W naszej ocenie, dla zabezpieczenia procesu prawidłowej digitalizacji dokumentacji medycznej, stosowne przepisy ustawy o SIOZ należałoby uzupełnić o podobną regulację.</w:t>
            </w:r>
          </w:p>
        </w:tc>
        <w:tc>
          <w:tcPr>
            <w:tcW w:w="2855" w:type="dxa"/>
            <w:shd w:val="clear" w:color="auto" w:fill="FFFFFF" w:themeFill="background1"/>
          </w:tcPr>
          <w:p w14:paraId="733D5FB1" w14:textId="77777777" w:rsidR="00D1708D" w:rsidRPr="001941B0" w:rsidRDefault="00D640A0" w:rsidP="006E0CB2">
            <w:pPr>
              <w:autoSpaceDE w:val="0"/>
              <w:autoSpaceDN w:val="0"/>
              <w:adjustRightInd w:val="0"/>
              <w:spacing w:after="0" w:line="240" w:lineRule="auto"/>
              <w:rPr>
                <w:b/>
                <w:sz w:val="20"/>
                <w:szCs w:val="20"/>
              </w:rPr>
            </w:pPr>
            <w:r w:rsidRPr="001941B0">
              <w:rPr>
                <w:b/>
                <w:sz w:val="20"/>
                <w:szCs w:val="20"/>
              </w:rPr>
              <w:lastRenderedPageBreak/>
              <w:t>Wyjaśnienie</w:t>
            </w:r>
          </w:p>
          <w:p w14:paraId="768398A6" w14:textId="77777777" w:rsidR="00E21EFC" w:rsidRPr="001941B0" w:rsidRDefault="005E48CB" w:rsidP="006E0CB2">
            <w:pPr>
              <w:autoSpaceDE w:val="0"/>
              <w:autoSpaceDN w:val="0"/>
              <w:adjustRightInd w:val="0"/>
              <w:spacing w:after="0" w:line="240" w:lineRule="auto"/>
              <w:rPr>
                <w:sz w:val="20"/>
                <w:szCs w:val="20"/>
              </w:rPr>
            </w:pPr>
            <w:r w:rsidRPr="001941B0">
              <w:rPr>
                <w:sz w:val="20"/>
                <w:szCs w:val="20"/>
              </w:rPr>
              <w:t xml:space="preserve">Minimalny </w:t>
            </w:r>
            <w:r w:rsidR="008E7924" w:rsidRPr="001941B0">
              <w:rPr>
                <w:sz w:val="20"/>
                <w:szCs w:val="20"/>
              </w:rPr>
              <w:t>wymogi techniczne zostały określone w dokumentacji konkursowej dla szpitali</w:t>
            </w:r>
            <w:r w:rsidR="00774C40" w:rsidRPr="001941B0">
              <w:rPr>
                <w:sz w:val="20"/>
                <w:szCs w:val="20"/>
              </w:rPr>
              <w:t xml:space="preserve"> w ramach KPO</w:t>
            </w:r>
            <w:r w:rsidR="00FF71C8" w:rsidRPr="001941B0">
              <w:rPr>
                <w:sz w:val="20"/>
                <w:szCs w:val="20"/>
              </w:rPr>
              <w:t>.</w:t>
            </w:r>
          </w:p>
          <w:p w14:paraId="6BDE0A8F" w14:textId="5DDECA96" w:rsidR="00D1708D" w:rsidRPr="001941B0" w:rsidRDefault="00774C40" w:rsidP="006E0CB2">
            <w:pPr>
              <w:autoSpaceDE w:val="0"/>
              <w:autoSpaceDN w:val="0"/>
              <w:adjustRightInd w:val="0"/>
              <w:spacing w:after="0" w:line="240" w:lineRule="auto"/>
              <w:rPr>
                <w:sz w:val="20"/>
                <w:szCs w:val="20"/>
              </w:rPr>
            </w:pPr>
            <w:r w:rsidRPr="001941B0">
              <w:rPr>
                <w:sz w:val="20"/>
                <w:szCs w:val="20"/>
              </w:rPr>
              <w:t>W zakresie narzędzia do digitalizacji zapewnione są walidacje</w:t>
            </w:r>
            <w:r w:rsidR="00984C9D" w:rsidRPr="001941B0">
              <w:rPr>
                <w:sz w:val="20"/>
                <w:szCs w:val="20"/>
              </w:rPr>
              <w:t xml:space="preserve"> zapewniające minimalne wymagania dla zdigitalizowanego dokumentu. </w:t>
            </w:r>
            <w:r w:rsidR="00880F0D" w:rsidRPr="001941B0">
              <w:rPr>
                <w:sz w:val="20"/>
                <w:szCs w:val="20"/>
              </w:rPr>
              <w:t>S</w:t>
            </w:r>
            <w:r w:rsidR="00984C9D" w:rsidRPr="001941B0">
              <w:rPr>
                <w:sz w:val="20"/>
                <w:szCs w:val="20"/>
              </w:rPr>
              <w:t>zablon</w:t>
            </w:r>
            <w:r w:rsidR="00880F0D" w:rsidRPr="001941B0">
              <w:rPr>
                <w:sz w:val="20"/>
                <w:szCs w:val="20"/>
              </w:rPr>
              <w:t xml:space="preserve"> KIZLS</w:t>
            </w:r>
          </w:p>
        </w:tc>
      </w:tr>
      <w:tr w:rsidR="00FC7212" w:rsidRPr="001941B0" w14:paraId="1DCA265B" w14:textId="77777777" w:rsidTr="7139DBB9">
        <w:tc>
          <w:tcPr>
            <w:tcW w:w="1125" w:type="dxa"/>
            <w:shd w:val="clear" w:color="auto" w:fill="FFFFFF" w:themeFill="background1"/>
          </w:tcPr>
          <w:p w14:paraId="319A2EA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2FD889B" w14:textId="2F4D7A0C"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iCs/>
                <w:sz w:val="20"/>
                <w:szCs w:val="20"/>
              </w:rPr>
              <w:t>POROZUMIENIE PRACODAWCÓW OCHRONY ZDROWIA</w:t>
            </w:r>
          </w:p>
        </w:tc>
        <w:tc>
          <w:tcPr>
            <w:tcW w:w="1949" w:type="dxa"/>
            <w:shd w:val="clear" w:color="auto" w:fill="FFFFFF" w:themeFill="background1"/>
          </w:tcPr>
          <w:p w14:paraId="536E490C" w14:textId="6A6C0891"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Artykuł 5 pkt 11) lit. b)</w:t>
            </w:r>
          </w:p>
        </w:tc>
        <w:tc>
          <w:tcPr>
            <w:tcW w:w="5652" w:type="dxa"/>
            <w:shd w:val="clear" w:color="auto" w:fill="FFFFFF" w:themeFill="background1"/>
          </w:tcPr>
          <w:p w14:paraId="48F527AE" w14:textId="7F1BB984" w:rsidR="00306E53" w:rsidRPr="001941B0" w:rsidRDefault="00306E53" w:rsidP="006E0CB2">
            <w:pPr>
              <w:autoSpaceDE w:val="0"/>
              <w:autoSpaceDN w:val="0"/>
              <w:adjustRightInd w:val="0"/>
              <w:spacing w:after="0" w:line="240" w:lineRule="auto"/>
              <w:rPr>
                <w:bCs/>
                <w:iCs/>
                <w:sz w:val="20"/>
                <w:szCs w:val="20"/>
              </w:rPr>
            </w:pPr>
            <w:r w:rsidRPr="001941B0">
              <w:rPr>
                <w:rFonts w:cs="Calibri"/>
                <w:bCs/>
                <w:iCs/>
                <w:sz w:val="20"/>
                <w:szCs w:val="20"/>
              </w:rPr>
              <w:t xml:space="preserve">PPOZ pozytywnie ocenia projektowaną możliwość udostępniania przez jednostkę podległą Ministrowi Zdrowia nieodpłatnego narzędzia do </w:t>
            </w:r>
            <w:r w:rsidRPr="001941B0">
              <w:rPr>
                <w:rFonts w:cs="Calibri"/>
                <w:b/>
                <w:bCs/>
                <w:iCs/>
                <w:sz w:val="20"/>
                <w:szCs w:val="20"/>
              </w:rPr>
              <w:t>digitalizacji dokumentacji medycznej</w:t>
            </w:r>
            <w:r w:rsidRPr="001941B0">
              <w:rPr>
                <w:rFonts w:cs="Calibri"/>
                <w:bCs/>
                <w:iCs/>
                <w:sz w:val="20"/>
                <w:szCs w:val="20"/>
              </w:rPr>
              <w:t xml:space="preserve"> (nowe art. 13b ust. 2a–2c ustawy z dnia 28 kwietnia 2011 r. o systemie informacji w ochronie zdrowia). W uzasadnieniu Projektu wskazuje się przy tym, że: „</w:t>
            </w:r>
            <w:r w:rsidRPr="001941B0">
              <w:rPr>
                <w:rFonts w:cs="Calibri"/>
                <w:bCs/>
                <w:i/>
                <w:iCs/>
                <w:sz w:val="20"/>
                <w:szCs w:val="20"/>
              </w:rPr>
              <w:t>W pierwszej kolejności jest planowane stworzenie narzędzia do digitalizacji kart informacyjnych z leczenia szpitalnego</w:t>
            </w:r>
            <w:r w:rsidRPr="001941B0">
              <w:rPr>
                <w:rFonts w:cs="Calibri"/>
                <w:bCs/>
                <w:iCs/>
                <w:sz w:val="20"/>
                <w:szCs w:val="20"/>
              </w:rPr>
              <w:t xml:space="preserve">”. PPOZ stoi na stanowisku, że </w:t>
            </w:r>
            <w:r w:rsidRPr="001941B0">
              <w:rPr>
                <w:rFonts w:cs="Calibri"/>
                <w:b/>
                <w:bCs/>
                <w:iCs/>
                <w:sz w:val="20"/>
                <w:szCs w:val="20"/>
              </w:rPr>
              <w:t>narzędzie to jak najszybciej powinno objąć także dokumentację medyczną prowadzoną przez świadczeniodawców POZ.</w:t>
            </w:r>
            <w:r w:rsidRPr="001941B0">
              <w:rPr>
                <w:rFonts w:cs="Calibri"/>
                <w:bCs/>
                <w:iCs/>
                <w:sz w:val="20"/>
                <w:szCs w:val="20"/>
              </w:rPr>
              <w:t xml:space="preserve"> To właśnie w małych placówkach POZ koszty digitalizacji dokumentacji medycznej mogą być bowiem szczególnie dotkliwe.</w:t>
            </w:r>
          </w:p>
        </w:tc>
        <w:tc>
          <w:tcPr>
            <w:tcW w:w="2855" w:type="dxa"/>
            <w:shd w:val="clear" w:color="auto" w:fill="FFFFFF" w:themeFill="background1"/>
          </w:tcPr>
          <w:p w14:paraId="57FCF2F2" w14:textId="44784407" w:rsidR="00306E53" w:rsidRPr="001941B0" w:rsidRDefault="00306E53" w:rsidP="006E0CB2">
            <w:pPr>
              <w:autoSpaceDE w:val="0"/>
              <w:autoSpaceDN w:val="0"/>
              <w:adjustRightInd w:val="0"/>
              <w:spacing w:after="0" w:line="240" w:lineRule="auto"/>
              <w:rPr>
                <w:b/>
                <w:sz w:val="20"/>
                <w:szCs w:val="20"/>
              </w:rPr>
            </w:pPr>
            <w:r w:rsidRPr="001941B0">
              <w:rPr>
                <w:b/>
                <w:sz w:val="20"/>
                <w:szCs w:val="20"/>
              </w:rPr>
              <w:t>Uwaga nieuwzględniona</w:t>
            </w:r>
          </w:p>
          <w:p w14:paraId="00001249" w14:textId="2F7331BF" w:rsidR="00306E53" w:rsidRPr="001941B0" w:rsidRDefault="00306E53" w:rsidP="006E0CB2">
            <w:pPr>
              <w:autoSpaceDE w:val="0"/>
              <w:autoSpaceDN w:val="0"/>
              <w:adjustRightInd w:val="0"/>
              <w:spacing w:after="0" w:line="240" w:lineRule="auto"/>
              <w:rPr>
                <w:sz w:val="20"/>
                <w:szCs w:val="20"/>
              </w:rPr>
            </w:pPr>
            <w:r w:rsidRPr="001941B0">
              <w:rPr>
                <w:sz w:val="20"/>
                <w:szCs w:val="20"/>
              </w:rPr>
              <w:t xml:space="preserve">Poza zakresem projektowanej regulacji. W pierwszej kolejności, zgodnie z </w:t>
            </w:r>
            <w:r w:rsidRPr="001941B0">
              <w:rPr>
                <w:rFonts w:eastAsia="Aptos" w:cs="Aptos"/>
                <w:sz w:val="20"/>
                <w:szCs w:val="20"/>
              </w:rPr>
              <w:t>ZAŁĄCZNIKIEM do DECYZJI WYKONAWCZEJ RADY zmieniającej decyzję wykonawczą z dnia 17 czerwca 2022 r. w sprawie zatwierdzenia oceny planu odbudowy i zwiększania odporności Polski</w:t>
            </w:r>
            <w:r w:rsidRPr="001941B0">
              <w:rPr>
                <w:sz w:val="20"/>
                <w:szCs w:val="20"/>
              </w:rPr>
              <w:t xml:space="preserve">, digitalizacją mają być objęte </w:t>
            </w:r>
            <w:r w:rsidRPr="001941B0">
              <w:rPr>
                <w:sz w:val="20"/>
                <w:szCs w:val="20"/>
              </w:rPr>
              <w:lastRenderedPageBreak/>
              <w:t xml:space="preserve">karty informacyjne z leczenia szpitalnego. </w:t>
            </w:r>
          </w:p>
        </w:tc>
      </w:tr>
      <w:tr w:rsidR="00FC7212" w:rsidRPr="001941B0" w14:paraId="6E26C95F" w14:textId="77777777" w:rsidTr="7139DBB9">
        <w:tc>
          <w:tcPr>
            <w:tcW w:w="1125" w:type="dxa"/>
            <w:shd w:val="clear" w:color="auto" w:fill="FFFFFF" w:themeFill="background1"/>
          </w:tcPr>
          <w:p w14:paraId="0C6D219A"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1AEC146" w14:textId="788B50C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8397A57" w14:textId="614F06D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9)</w:t>
            </w:r>
          </w:p>
        </w:tc>
        <w:tc>
          <w:tcPr>
            <w:tcW w:w="5652" w:type="dxa"/>
            <w:shd w:val="clear" w:color="auto" w:fill="FFFFFF" w:themeFill="background1"/>
          </w:tcPr>
          <w:p w14:paraId="149C20FD" w14:textId="77777777" w:rsidR="00306E53" w:rsidRPr="001941B0" w:rsidRDefault="00306E53" w:rsidP="006E0CB2">
            <w:pPr>
              <w:autoSpaceDE w:val="0"/>
              <w:autoSpaceDN w:val="0"/>
              <w:adjustRightInd w:val="0"/>
              <w:spacing w:after="0" w:line="240" w:lineRule="auto"/>
              <w:rPr>
                <w:bCs/>
                <w:iCs/>
                <w:sz w:val="20"/>
                <w:szCs w:val="20"/>
              </w:rPr>
            </w:pPr>
            <w:r w:rsidRPr="001941B0">
              <w:rPr>
                <w:b/>
                <w:bCs/>
                <w:iCs/>
                <w:sz w:val="20"/>
                <w:szCs w:val="20"/>
                <w:u w:val="single"/>
              </w:rPr>
              <w:t>w art. 5 pkt 13 projektu ustawy dotyczącym zmian w ustawie z dnia 28 kwietnia 2011 r. o</w:t>
            </w:r>
            <w:r w:rsidRPr="001941B0">
              <w:rPr>
                <w:b/>
                <w:bCs/>
                <w:iCs/>
                <w:sz w:val="20"/>
                <w:szCs w:val="20"/>
              </w:rPr>
              <w:t xml:space="preserve"> </w:t>
            </w:r>
            <w:r w:rsidRPr="001941B0">
              <w:rPr>
                <w:b/>
                <w:bCs/>
                <w:iCs/>
                <w:sz w:val="20"/>
                <w:szCs w:val="20"/>
                <w:u w:val="single"/>
              </w:rPr>
              <w:t>systemie informacji w ochronie zdrowia (Dz. U. z 2025 r. poz. 302, 779, 1537 i 1705) w art. 27</w:t>
            </w:r>
            <w:r w:rsidRPr="001941B0">
              <w:rPr>
                <w:b/>
                <w:bCs/>
                <w:iCs/>
                <w:sz w:val="20"/>
                <w:szCs w:val="20"/>
              </w:rPr>
              <w:t xml:space="preserve"> </w:t>
            </w:r>
            <w:r w:rsidRPr="001941B0">
              <w:rPr>
                <w:b/>
                <w:bCs/>
                <w:iCs/>
                <w:sz w:val="20"/>
                <w:szCs w:val="20"/>
                <w:u w:val="single"/>
              </w:rPr>
              <w:t>po ust. 4 dodaje się ust. 5 w brzmieniu:</w:t>
            </w:r>
            <w:r w:rsidRPr="001941B0">
              <w:rPr>
                <w:b/>
                <w:bCs/>
                <w:iCs/>
                <w:sz w:val="20"/>
                <w:szCs w:val="20"/>
              </w:rPr>
              <w:t xml:space="preserve"> </w:t>
            </w:r>
          </w:p>
          <w:p w14:paraId="5101FC25" w14:textId="2C842808" w:rsidR="00306E53" w:rsidRPr="001941B0" w:rsidRDefault="00306E53" w:rsidP="006E0CB2">
            <w:pPr>
              <w:autoSpaceDE w:val="0"/>
              <w:autoSpaceDN w:val="0"/>
              <w:adjustRightInd w:val="0"/>
              <w:spacing w:after="0" w:line="240" w:lineRule="auto"/>
              <w:rPr>
                <w:bCs/>
                <w:iCs/>
                <w:sz w:val="20"/>
                <w:szCs w:val="20"/>
              </w:rPr>
            </w:pPr>
            <w:r w:rsidRPr="001941B0">
              <w:rPr>
                <w:bCs/>
                <w:i/>
                <w:iCs/>
                <w:sz w:val="20"/>
                <w:szCs w:val="20"/>
              </w:rPr>
              <w:t xml:space="preserve">„5. Narodowy Fundusz Zdrowia udostępnia Agencji Oceny Technologii Medycznych i Taryfikacji dane gromadzone w Systemie Monitorowania Dostępności do Świadczeń Opieki Zdrowotnej w celu realizacji  zadań określonych w art. 31n </w:t>
            </w:r>
            <w:r w:rsidRPr="001941B0">
              <w:rPr>
                <w:bCs/>
                <w:i/>
                <w:iCs/>
                <w:sz w:val="20"/>
                <w:szCs w:val="20"/>
                <w:u w:val="single"/>
              </w:rPr>
              <w:t>pkt 1-3d</w:t>
            </w:r>
            <w:r w:rsidRPr="001941B0">
              <w:rPr>
                <w:bCs/>
                <w:i/>
                <w:iCs/>
                <w:sz w:val="20"/>
                <w:szCs w:val="20"/>
              </w:rPr>
              <w:t xml:space="preserve"> i 4a-5 ustawy z dnia 27 sierpnia 2004 r. o świadczeniach oraz w celu dokonywania analiz na rzecz systemu ochrony zdrowia.” </w:t>
            </w:r>
          </w:p>
          <w:p w14:paraId="14CBF552" w14:textId="77777777" w:rsidR="00306E53" w:rsidRPr="001941B0" w:rsidRDefault="00306E53" w:rsidP="006E0CB2">
            <w:pPr>
              <w:autoSpaceDE w:val="0"/>
              <w:autoSpaceDN w:val="0"/>
              <w:adjustRightInd w:val="0"/>
              <w:spacing w:after="0" w:line="240" w:lineRule="auto"/>
              <w:rPr>
                <w:bCs/>
                <w:iCs/>
                <w:sz w:val="20"/>
                <w:szCs w:val="20"/>
                <w:u w:val="single"/>
              </w:rPr>
            </w:pPr>
            <w:r w:rsidRPr="001941B0">
              <w:rPr>
                <w:bCs/>
                <w:iCs/>
                <w:sz w:val="20"/>
                <w:szCs w:val="20"/>
                <w:u w:val="single"/>
              </w:rPr>
              <w:t>Uzasadnienie</w:t>
            </w:r>
            <w:r w:rsidRPr="001941B0">
              <w:rPr>
                <w:bCs/>
                <w:iCs/>
                <w:sz w:val="20"/>
                <w:szCs w:val="20"/>
              </w:rPr>
              <w:t xml:space="preserve"> </w:t>
            </w:r>
          </w:p>
          <w:p w14:paraId="10172244" w14:textId="01C8C947" w:rsidR="00306E53" w:rsidRPr="001941B0" w:rsidRDefault="00306E53" w:rsidP="006E0CB2">
            <w:pPr>
              <w:autoSpaceDE w:val="0"/>
              <w:autoSpaceDN w:val="0"/>
              <w:adjustRightInd w:val="0"/>
              <w:spacing w:after="0" w:line="240" w:lineRule="auto"/>
              <w:rPr>
                <w:bCs/>
                <w:iCs/>
                <w:sz w:val="20"/>
                <w:szCs w:val="20"/>
              </w:rPr>
            </w:pPr>
            <w:r w:rsidRPr="001941B0">
              <w:rPr>
                <w:bCs/>
                <w:iCs/>
                <w:sz w:val="20"/>
                <w:szCs w:val="20"/>
              </w:rPr>
              <w:t xml:space="preserve">Zasadne jest dodanie przepisu, na podstawie którego Agencja uzyska prawo do otrzymywania danych z systemu Monitorowania Dostępności do Świadczeń Opieki Zdrowotnej w celu realizacji zadań ustawowych Agencji określonych w art. 31n </w:t>
            </w:r>
            <w:r w:rsidRPr="001941B0">
              <w:rPr>
                <w:bCs/>
                <w:iCs/>
                <w:sz w:val="20"/>
                <w:szCs w:val="20"/>
                <w:u w:val="single"/>
              </w:rPr>
              <w:t>pkt 1-3d</w:t>
            </w:r>
            <w:r w:rsidRPr="001941B0">
              <w:rPr>
                <w:bCs/>
                <w:iCs/>
                <w:sz w:val="20"/>
                <w:szCs w:val="20"/>
              </w:rPr>
              <w:t xml:space="preserve"> i 4a-5 ustawy o świadczeniach.  Dane te są również niezbędne Agencji w celu dokonywania analiz na rzecz systemu ochrony zdrowia, jako instytucji powołanej do oceny technologii medycznych i dokonywania wyceny świadczeń opieki zdrowotnej finansowanych ze środków publicznych.</w:t>
            </w:r>
          </w:p>
        </w:tc>
        <w:tc>
          <w:tcPr>
            <w:tcW w:w="2855" w:type="dxa"/>
            <w:shd w:val="clear" w:color="auto" w:fill="FFFFFF" w:themeFill="background1"/>
          </w:tcPr>
          <w:p w14:paraId="7E3EF25B" w14:textId="77777777" w:rsidR="00306E53" w:rsidRPr="001941B0" w:rsidRDefault="738EF70C" w:rsidP="0600D313">
            <w:pPr>
              <w:spacing w:after="0" w:line="240" w:lineRule="auto"/>
              <w:rPr>
                <w:b/>
                <w:bCs/>
                <w:sz w:val="20"/>
                <w:szCs w:val="20"/>
              </w:rPr>
            </w:pPr>
            <w:r w:rsidRPr="001941B0">
              <w:rPr>
                <w:b/>
                <w:bCs/>
                <w:sz w:val="20"/>
                <w:szCs w:val="20"/>
              </w:rPr>
              <w:t xml:space="preserve">Uwaga </w:t>
            </w:r>
            <w:r w:rsidR="00391302" w:rsidRPr="001941B0">
              <w:rPr>
                <w:b/>
                <w:bCs/>
                <w:sz w:val="20"/>
                <w:szCs w:val="20"/>
              </w:rPr>
              <w:t>nie</w:t>
            </w:r>
            <w:r w:rsidRPr="001941B0">
              <w:rPr>
                <w:b/>
                <w:bCs/>
                <w:sz w:val="20"/>
                <w:szCs w:val="20"/>
              </w:rPr>
              <w:t xml:space="preserve">uwzględniona </w:t>
            </w:r>
          </w:p>
          <w:p w14:paraId="79A625EA" w14:textId="38EF846D" w:rsidR="00407D7F" w:rsidRPr="001941B0" w:rsidRDefault="00CA4EC2" w:rsidP="0600D313">
            <w:pPr>
              <w:spacing w:after="0" w:line="240" w:lineRule="auto"/>
              <w:rPr>
                <w:sz w:val="20"/>
                <w:szCs w:val="20"/>
              </w:rPr>
            </w:pPr>
            <w:r w:rsidRPr="001941B0">
              <w:rPr>
                <w:sz w:val="20"/>
                <w:szCs w:val="20"/>
              </w:rPr>
              <w:t xml:space="preserve">Poza zakresem planowanej regulacji </w:t>
            </w:r>
          </w:p>
          <w:p w14:paraId="66BF0B3F" w14:textId="77777777" w:rsidR="00407D7F" w:rsidRPr="001941B0" w:rsidRDefault="00407D7F" w:rsidP="0600D313">
            <w:pPr>
              <w:spacing w:after="0" w:line="240" w:lineRule="auto"/>
              <w:rPr>
                <w:b/>
                <w:bCs/>
                <w:sz w:val="20"/>
                <w:szCs w:val="20"/>
              </w:rPr>
            </w:pPr>
          </w:p>
          <w:p w14:paraId="0AD03A56" w14:textId="77777777" w:rsidR="00391302" w:rsidRPr="001941B0" w:rsidRDefault="00391302" w:rsidP="0600D313">
            <w:pPr>
              <w:spacing w:after="0" w:line="240" w:lineRule="auto"/>
              <w:rPr>
                <w:b/>
                <w:bCs/>
                <w:sz w:val="20"/>
                <w:szCs w:val="20"/>
              </w:rPr>
            </w:pPr>
          </w:p>
          <w:p w14:paraId="628A4931" w14:textId="0E751744" w:rsidR="00391302" w:rsidRPr="001941B0" w:rsidRDefault="00391302" w:rsidP="0600D313">
            <w:pPr>
              <w:spacing w:after="0" w:line="240" w:lineRule="auto"/>
              <w:rPr>
                <w:b/>
                <w:sz w:val="20"/>
                <w:szCs w:val="20"/>
              </w:rPr>
            </w:pPr>
          </w:p>
        </w:tc>
      </w:tr>
      <w:tr w:rsidR="00FC7212" w:rsidRPr="001941B0" w14:paraId="2DB3B7E1" w14:textId="77777777" w:rsidTr="7139DBB9">
        <w:tc>
          <w:tcPr>
            <w:tcW w:w="1125" w:type="dxa"/>
            <w:shd w:val="clear" w:color="auto" w:fill="FFFFFF" w:themeFill="background1"/>
          </w:tcPr>
          <w:p w14:paraId="2C9F3F9F"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4588E0D" w14:textId="11AABC57"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Naczelna Izba Lekarska</w:t>
            </w:r>
          </w:p>
        </w:tc>
        <w:tc>
          <w:tcPr>
            <w:tcW w:w="1949" w:type="dxa"/>
            <w:shd w:val="clear" w:color="auto" w:fill="FFFFFF" w:themeFill="background1"/>
          </w:tcPr>
          <w:p w14:paraId="044E7A05" w14:textId="1C31DA34"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11</w:t>
            </w:r>
          </w:p>
        </w:tc>
        <w:tc>
          <w:tcPr>
            <w:tcW w:w="5652" w:type="dxa"/>
            <w:shd w:val="clear" w:color="auto" w:fill="FFFFFF" w:themeFill="background1"/>
          </w:tcPr>
          <w:p w14:paraId="51ABB781" w14:textId="0985340C"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sz w:val="20"/>
                <w:szCs w:val="20"/>
              </w:rPr>
              <w:t>Naczelna Rada Lekarska nie zgłasza zastrzeżeń wobec art.5 pkt 11 projektu ustawy przewidującego zmiany w art. 13b ustawy o systemie informacji w ochronie zdrowia, które mają na celu wsparcie procesu digitalizacji dokumentacji medycznej poprzez nieodpłatne zapewnienie narzędzia do digitalizacji przez jednostkę podległą Ministrowi Zdrowia właściwą w zakresie systemów informacyjnych ochrony zdrowia.</w:t>
            </w:r>
          </w:p>
        </w:tc>
        <w:tc>
          <w:tcPr>
            <w:tcW w:w="2855" w:type="dxa"/>
            <w:shd w:val="clear" w:color="auto" w:fill="FFFFFF" w:themeFill="background1"/>
          </w:tcPr>
          <w:p w14:paraId="43ABB7B7" w14:textId="5A33D4E2" w:rsidR="00306E53" w:rsidRPr="001941B0" w:rsidRDefault="0F7E4A9D" w:rsidP="006E0CB2">
            <w:pPr>
              <w:autoSpaceDE w:val="0"/>
              <w:autoSpaceDN w:val="0"/>
              <w:adjustRightInd w:val="0"/>
              <w:spacing w:after="0" w:line="240" w:lineRule="auto"/>
              <w:rPr>
                <w:b/>
                <w:sz w:val="20"/>
                <w:szCs w:val="20"/>
              </w:rPr>
            </w:pPr>
            <w:r w:rsidRPr="001941B0">
              <w:rPr>
                <w:b/>
                <w:sz w:val="20"/>
                <w:szCs w:val="20"/>
              </w:rPr>
              <w:t>Uwaga o charakterze komentarza</w:t>
            </w:r>
          </w:p>
        </w:tc>
      </w:tr>
      <w:tr w:rsidR="00FC7212" w:rsidRPr="001941B0" w14:paraId="03DD0ADD" w14:textId="77777777" w:rsidTr="7139DBB9">
        <w:tc>
          <w:tcPr>
            <w:tcW w:w="1125" w:type="dxa"/>
            <w:shd w:val="clear" w:color="auto" w:fill="FFFFFF" w:themeFill="background1"/>
          </w:tcPr>
          <w:p w14:paraId="048164BD"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3026453" w14:textId="2B020E7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E43D04F"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17)</w:t>
            </w:r>
          </w:p>
          <w:p w14:paraId="41527C71" w14:textId="77777777" w:rsidR="00F34F69" w:rsidRPr="001941B0" w:rsidRDefault="00F34F69" w:rsidP="006E0CB2">
            <w:pPr>
              <w:autoSpaceDE w:val="0"/>
              <w:autoSpaceDN w:val="0"/>
              <w:adjustRightInd w:val="0"/>
              <w:spacing w:after="0" w:line="240" w:lineRule="auto"/>
              <w:rPr>
                <w:rFonts w:cs="Calibri"/>
                <w:sz w:val="20"/>
                <w:szCs w:val="20"/>
              </w:rPr>
            </w:pPr>
          </w:p>
          <w:p w14:paraId="3DCFC7CB" w14:textId="34443390"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081066D3" w14:textId="77777777" w:rsidR="00306E53" w:rsidRPr="001941B0" w:rsidRDefault="00306E53" w:rsidP="006E0CB2">
            <w:pPr>
              <w:autoSpaceDE w:val="0"/>
              <w:autoSpaceDN w:val="0"/>
              <w:adjustRightInd w:val="0"/>
              <w:spacing w:after="0" w:line="240" w:lineRule="auto"/>
              <w:rPr>
                <w:b/>
                <w:bCs/>
                <w:iCs/>
                <w:sz w:val="20"/>
                <w:szCs w:val="20"/>
                <w:u w:val="single"/>
              </w:rPr>
            </w:pPr>
            <w:r w:rsidRPr="001941B0">
              <w:rPr>
                <w:b/>
                <w:bCs/>
                <w:iCs/>
                <w:sz w:val="20"/>
                <w:szCs w:val="20"/>
                <w:u w:val="single"/>
              </w:rPr>
              <w:t xml:space="preserve">w art. 5 pkt 17 projektu ustawy dotyczącym zmian w ustawie z dnia 28 kwietnia 2011 r. o systemie informacji w ochronie zdrowia (Dz. U. z 2025 r. poz. 302, 779, 1537 i 1705) w art. 31e: </w:t>
            </w:r>
          </w:p>
          <w:p w14:paraId="16101FFC" w14:textId="77777777" w:rsidR="00306E53" w:rsidRPr="001941B0" w:rsidRDefault="00306E53" w:rsidP="006E0CB2">
            <w:pPr>
              <w:autoSpaceDE w:val="0"/>
              <w:autoSpaceDN w:val="0"/>
              <w:adjustRightInd w:val="0"/>
              <w:spacing w:after="0" w:line="240" w:lineRule="auto"/>
              <w:rPr>
                <w:b/>
                <w:bCs/>
                <w:iCs/>
                <w:sz w:val="20"/>
                <w:szCs w:val="20"/>
                <w:u w:val="single"/>
              </w:rPr>
            </w:pPr>
            <w:r w:rsidRPr="001941B0">
              <w:rPr>
                <w:b/>
                <w:bCs/>
                <w:iCs/>
                <w:sz w:val="20"/>
                <w:szCs w:val="20"/>
                <w:u w:val="single"/>
              </w:rPr>
              <w:t xml:space="preserve">a)  ust. 1 otrzymuje brzmienie: </w:t>
            </w:r>
          </w:p>
          <w:p w14:paraId="578F27B5" w14:textId="77777777" w:rsidR="00306E53" w:rsidRPr="001941B0" w:rsidRDefault="00306E53" w:rsidP="006E0CB2">
            <w:pPr>
              <w:autoSpaceDE w:val="0"/>
              <w:autoSpaceDN w:val="0"/>
              <w:adjustRightInd w:val="0"/>
              <w:spacing w:after="0" w:line="240" w:lineRule="auto"/>
              <w:rPr>
                <w:iCs/>
                <w:sz w:val="20"/>
                <w:szCs w:val="20"/>
              </w:rPr>
            </w:pPr>
            <w:r w:rsidRPr="001941B0">
              <w:rPr>
                <w:i/>
                <w:iCs/>
                <w:sz w:val="20"/>
                <w:szCs w:val="20"/>
              </w:rPr>
              <w:lastRenderedPageBreak/>
              <w:t xml:space="preserve">„1. Hurtownia Danych e-Zdrowia stanowi zorganizowany, spójny i interoperacyjny zbiór danych, </w:t>
            </w:r>
            <w:r w:rsidRPr="001941B0">
              <w:rPr>
                <w:b/>
                <w:bCs/>
                <w:i/>
                <w:iCs/>
                <w:sz w:val="20"/>
                <w:szCs w:val="20"/>
              </w:rPr>
              <w:t>umożliwiający ich przetwarzanie w sposób zapewniający ich integralność, bezpieczeństwo, dostępność oraz możliwość zautomatyzowanej wymiany danych ze sprawdzonymi systemami analitycznymi podmiotów uprawnionych,</w:t>
            </w:r>
            <w:r w:rsidRPr="001941B0">
              <w:rPr>
                <w:i/>
                <w:iCs/>
                <w:sz w:val="20"/>
                <w:szCs w:val="20"/>
              </w:rPr>
              <w:t xml:space="preserve"> pochodzących z baz danych, systemów administracji publicznej, rejestrów oraz narzędzi analitycznych umożliwiający ich przetwarzanie w sposób zapewniający ich integralność, bezpieczeństwo oraz dostępność.”; </w:t>
            </w:r>
          </w:p>
          <w:p w14:paraId="736D433F" w14:textId="77777777" w:rsidR="00306E53" w:rsidRPr="001941B0" w:rsidRDefault="00306E53" w:rsidP="006E0CB2">
            <w:pPr>
              <w:autoSpaceDE w:val="0"/>
              <w:autoSpaceDN w:val="0"/>
              <w:adjustRightInd w:val="0"/>
              <w:spacing w:after="0" w:line="240" w:lineRule="auto"/>
              <w:rPr>
                <w:iCs/>
                <w:sz w:val="20"/>
                <w:szCs w:val="20"/>
                <w:u w:val="single"/>
              </w:rPr>
            </w:pPr>
            <w:r w:rsidRPr="001941B0">
              <w:rPr>
                <w:iCs/>
                <w:sz w:val="20"/>
                <w:szCs w:val="20"/>
                <w:u w:val="single"/>
              </w:rPr>
              <w:t xml:space="preserve">Uzasadnienie </w:t>
            </w:r>
          </w:p>
          <w:p w14:paraId="673086D8" w14:textId="29EF48C2" w:rsidR="00306E53" w:rsidRPr="001941B0" w:rsidRDefault="00306E53" w:rsidP="006E0CB2">
            <w:pPr>
              <w:autoSpaceDE w:val="0"/>
              <w:autoSpaceDN w:val="0"/>
              <w:adjustRightInd w:val="0"/>
              <w:spacing w:after="0" w:line="240" w:lineRule="auto"/>
              <w:rPr>
                <w:b/>
                <w:bCs/>
                <w:iCs/>
                <w:sz w:val="20"/>
                <w:szCs w:val="20"/>
                <w:u w:val="single"/>
              </w:rPr>
            </w:pPr>
            <w:r w:rsidRPr="001941B0">
              <w:rPr>
                <w:iCs/>
                <w:sz w:val="20"/>
                <w:szCs w:val="20"/>
              </w:rPr>
              <w:t xml:space="preserve">Zasadne jest doprecyzowanie znaczenia „interoperacyjnego zbioru danych”. Samo słowo „interoperacyjny” jest często interpretowane wąsko (jako zgodność formatów plików). Z perspektywy inżynierii danych, Hurtownia Danych e-Zdrowia musi być definiowana jako platforma obsługująca nowoczesne standardy integracji (REST API, JDBC/ODBC dla zaufanych partnerów), a nie tylko zamknięte repozytorium. Jeśli Hurtownia Danych e-Zdrowia zostanie zaprojektowana jako zamknięty system raportowy bez otwartych standardów wymiany danych, koszty integracji i ręcznego pobierania danych będą rosły wykładniczo wraz z przyrostem wolumenu danych, blokując rozwój projektów analitycznych (w tym AI) w Agencji. </w:t>
            </w:r>
          </w:p>
        </w:tc>
        <w:tc>
          <w:tcPr>
            <w:tcW w:w="2855" w:type="dxa"/>
            <w:shd w:val="clear" w:color="auto" w:fill="FFFFFF" w:themeFill="background1"/>
          </w:tcPr>
          <w:p w14:paraId="5ECCB168" w14:textId="77777777" w:rsidR="00306E53" w:rsidRPr="001941B0" w:rsidRDefault="00E40FA5" w:rsidP="006E0CB2">
            <w:pPr>
              <w:autoSpaceDE w:val="0"/>
              <w:autoSpaceDN w:val="0"/>
              <w:adjustRightInd w:val="0"/>
              <w:spacing w:after="0" w:line="240" w:lineRule="auto"/>
              <w:rPr>
                <w:b/>
                <w:sz w:val="20"/>
                <w:szCs w:val="20"/>
              </w:rPr>
            </w:pPr>
            <w:r w:rsidRPr="001941B0">
              <w:rPr>
                <w:b/>
                <w:sz w:val="20"/>
                <w:szCs w:val="20"/>
              </w:rPr>
              <w:lastRenderedPageBreak/>
              <w:t>Wyjaśnienie</w:t>
            </w:r>
          </w:p>
          <w:p w14:paraId="4BB1ECFA" w14:textId="649547C4" w:rsidR="00306E53" w:rsidRPr="001941B0" w:rsidRDefault="00607BE3" w:rsidP="006E0CB2">
            <w:pPr>
              <w:autoSpaceDE w:val="0"/>
              <w:autoSpaceDN w:val="0"/>
              <w:adjustRightInd w:val="0"/>
              <w:spacing w:after="0" w:line="240" w:lineRule="auto"/>
              <w:rPr>
                <w:sz w:val="20"/>
                <w:szCs w:val="20"/>
              </w:rPr>
            </w:pPr>
            <w:r w:rsidRPr="001941B0">
              <w:rPr>
                <w:sz w:val="20"/>
                <w:szCs w:val="20"/>
              </w:rPr>
              <w:t>Postulowane f</w:t>
            </w:r>
            <w:r w:rsidR="00E40FA5" w:rsidRPr="001941B0">
              <w:rPr>
                <w:sz w:val="20"/>
                <w:szCs w:val="20"/>
              </w:rPr>
              <w:t>unkcjonalności będą zapewnione przez Hurtownie</w:t>
            </w:r>
            <w:r w:rsidR="009E002E" w:rsidRPr="001941B0">
              <w:rPr>
                <w:sz w:val="20"/>
                <w:szCs w:val="20"/>
              </w:rPr>
              <w:t>.</w:t>
            </w:r>
          </w:p>
        </w:tc>
      </w:tr>
      <w:tr w:rsidR="00FC7212" w:rsidRPr="001941B0" w14:paraId="216249B9" w14:textId="77777777" w:rsidTr="7139DBB9">
        <w:tc>
          <w:tcPr>
            <w:tcW w:w="1125" w:type="dxa"/>
            <w:shd w:val="clear" w:color="auto" w:fill="FFFFFF" w:themeFill="background1"/>
          </w:tcPr>
          <w:p w14:paraId="7282976F"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6F86C98" w14:textId="0FDD40AD"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A0E6530"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17)</w:t>
            </w:r>
          </w:p>
          <w:p w14:paraId="7BF100AF" w14:textId="77777777" w:rsidR="00C149EC" w:rsidRPr="001941B0" w:rsidRDefault="00C149EC" w:rsidP="006E0CB2">
            <w:pPr>
              <w:autoSpaceDE w:val="0"/>
              <w:autoSpaceDN w:val="0"/>
              <w:adjustRightInd w:val="0"/>
              <w:spacing w:after="0" w:line="240" w:lineRule="auto"/>
              <w:rPr>
                <w:rFonts w:cs="Calibri"/>
                <w:sz w:val="20"/>
                <w:szCs w:val="20"/>
              </w:rPr>
            </w:pPr>
          </w:p>
          <w:p w14:paraId="536AD304" w14:textId="03580821"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152EC999" w14:textId="77777777" w:rsidR="00306E53" w:rsidRPr="001941B0" w:rsidRDefault="00306E53" w:rsidP="006E0CB2">
            <w:pPr>
              <w:autoSpaceDE w:val="0"/>
              <w:autoSpaceDN w:val="0"/>
              <w:adjustRightInd w:val="0"/>
              <w:spacing w:after="0" w:line="240" w:lineRule="auto"/>
              <w:rPr>
                <w:b/>
                <w:bCs/>
                <w:iCs/>
                <w:sz w:val="20"/>
                <w:szCs w:val="20"/>
                <w:u w:val="single"/>
              </w:rPr>
            </w:pPr>
            <w:r w:rsidRPr="001941B0">
              <w:rPr>
                <w:b/>
                <w:bCs/>
                <w:iCs/>
                <w:sz w:val="20"/>
                <w:szCs w:val="20"/>
                <w:u w:val="single"/>
              </w:rPr>
              <w:t xml:space="preserve">w art. 5 pkt 17 projektu ustawy dotyczącym zmian w ustawie z dnia 28 kwietnia 2011 r. o systemie informacji w ochronie zdrowia (Dz. U. z 2025 r. poz. 302, 779, 1537 i 1705) w art. 31e: </w:t>
            </w:r>
          </w:p>
          <w:p w14:paraId="758B2814" w14:textId="77777777" w:rsidR="00306E53" w:rsidRPr="001941B0" w:rsidRDefault="00306E53" w:rsidP="006E0CB2">
            <w:pPr>
              <w:autoSpaceDE w:val="0"/>
              <w:autoSpaceDN w:val="0"/>
              <w:adjustRightInd w:val="0"/>
              <w:spacing w:after="0" w:line="240" w:lineRule="auto"/>
              <w:rPr>
                <w:iCs/>
                <w:sz w:val="20"/>
                <w:szCs w:val="20"/>
                <w:u w:val="single"/>
              </w:rPr>
            </w:pPr>
            <w:r w:rsidRPr="001941B0">
              <w:rPr>
                <w:iCs/>
                <w:sz w:val="20"/>
                <w:szCs w:val="20"/>
                <w:u w:val="single"/>
              </w:rPr>
              <w:t xml:space="preserve">b) </w:t>
            </w:r>
            <w:r w:rsidRPr="001941B0">
              <w:rPr>
                <w:b/>
                <w:iCs/>
                <w:sz w:val="20"/>
                <w:szCs w:val="20"/>
                <w:u w:val="single"/>
              </w:rPr>
              <w:t>ust. 4</w:t>
            </w:r>
            <w:r w:rsidRPr="001941B0">
              <w:rPr>
                <w:iCs/>
                <w:sz w:val="20"/>
                <w:szCs w:val="20"/>
                <w:u w:val="single"/>
              </w:rPr>
              <w:t xml:space="preserve">:   </w:t>
            </w:r>
          </w:p>
          <w:p w14:paraId="2E6A9A27" w14:textId="492A2038" w:rsidR="00306E53" w:rsidRPr="001941B0" w:rsidRDefault="00306E53" w:rsidP="006E0CB2">
            <w:pPr>
              <w:autoSpaceDE w:val="0"/>
              <w:autoSpaceDN w:val="0"/>
              <w:adjustRightInd w:val="0"/>
              <w:spacing w:after="0" w:line="240" w:lineRule="auto"/>
              <w:rPr>
                <w:iCs/>
                <w:sz w:val="20"/>
                <w:szCs w:val="20"/>
                <w:u w:val="single"/>
              </w:rPr>
            </w:pPr>
            <w:r w:rsidRPr="001941B0">
              <w:rPr>
                <w:b/>
                <w:iCs/>
                <w:sz w:val="20"/>
                <w:szCs w:val="20"/>
                <w:u w:val="single"/>
              </w:rPr>
              <w:t xml:space="preserve">- pkt 6 nadaje się następujące  brzmienie: </w:t>
            </w:r>
          </w:p>
          <w:p w14:paraId="40CB87DE" w14:textId="77777777" w:rsidR="00306E53" w:rsidRPr="001941B0" w:rsidRDefault="00306E53" w:rsidP="006E0CB2">
            <w:pPr>
              <w:autoSpaceDE w:val="0"/>
              <w:autoSpaceDN w:val="0"/>
              <w:adjustRightInd w:val="0"/>
              <w:spacing w:after="0" w:line="240" w:lineRule="auto"/>
              <w:rPr>
                <w:iCs/>
                <w:sz w:val="20"/>
                <w:szCs w:val="20"/>
              </w:rPr>
            </w:pPr>
            <w:r w:rsidRPr="001941B0">
              <w:rPr>
                <w:i/>
                <w:iCs/>
                <w:sz w:val="20"/>
                <w:szCs w:val="20"/>
              </w:rPr>
              <w:t xml:space="preserve">„6) prowadzenia analiz wspierających wykonywanie zadań określonych w przepisach szczególnych przez organy administracji publicznej oraz podmioty nadzorowane przez ministra właściwego do spraw  zdrowia.”; </w:t>
            </w:r>
          </w:p>
          <w:p w14:paraId="2DC3FDFB" w14:textId="77777777" w:rsidR="00306E53" w:rsidRPr="001941B0" w:rsidRDefault="00306E53" w:rsidP="006E0CB2">
            <w:pPr>
              <w:autoSpaceDE w:val="0"/>
              <w:autoSpaceDN w:val="0"/>
              <w:adjustRightInd w:val="0"/>
              <w:spacing w:after="0" w:line="240" w:lineRule="auto"/>
              <w:rPr>
                <w:iCs/>
                <w:sz w:val="20"/>
                <w:szCs w:val="20"/>
                <w:u w:val="single"/>
              </w:rPr>
            </w:pPr>
            <w:r w:rsidRPr="001941B0">
              <w:rPr>
                <w:iCs/>
                <w:sz w:val="20"/>
                <w:szCs w:val="20"/>
                <w:u w:val="single"/>
              </w:rPr>
              <w:t xml:space="preserve">Uzasadnienie </w:t>
            </w:r>
          </w:p>
          <w:p w14:paraId="5CF9E063" w14:textId="77777777" w:rsidR="00306E53" w:rsidRPr="001941B0" w:rsidRDefault="00306E53" w:rsidP="006E0CB2">
            <w:pPr>
              <w:autoSpaceDE w:val="0"/>
              <w:autoSpaceDN w:val="0"/>
              <w:adjustRightInd w:val="0"/>
              <w:spacing w:after="0" w:line="240" w:lineRule="auto"/>
              <w:rPr>
                <w:iCs/>
                <w:sz w:val="20"/>
                <w:szCs w:val="20"/>
              </w:rPr>
            </w:pPr>
            <w:r w:rsidRPr="001941B0">
              <w:rPr>
                <w:iCs/>
                <w:sz w:val="20"/>
                <w:szCs w:val="20"/>
              </w:rPr>
              <w:t xml:space="preserve">Zasadne jest dodanie w przedmiotowym przepisie, że prowadzone analizy z wykorzystaniem danych gromadzonych </w:t>
            </w:r>
            <w:r w:rsidRPr="001941B0">
              <w:rPr>
                <w:iCs/>
                <w:sz w:val="20"/>
                <w:szCs w:val="20"/>
              </w:rPr>
              <w:lastRenderedPageBreak/>
              <w:t xml:space="preserve">w Hurtowni Danych e-Zdrowia  będą wspierać wykonanie zadań nie tylko organów administracji publicznej, ale również podmiotów nadzorowanych przez ministra właściwego do spraw zdrowia, np. Agencję Oceny Technologii Medycznych i Taryfikacji. Przedmiotowe dane są również niezbędne Agencji  w celu uzyskania rezultatów Projektów realizowanych w Agencji w ramach Programu Badawczo-Rozwojowego. </w:t>
            </w:r>
          </w:p>
          <w:p w14:paraId="22F09765" w14:textId="5B837EB2" w:rsidR="00306E53" w:rsidRPr="001941B0" w:rsidRDefault="00306E53" w:rsidP="006E0CB2">
            <w:pPr>
              <w:autoSpaceDE w:val="0"/>
              <w:autoSpaceDN w:val="0"/>
              <w:adjustRightInd w:val="0"/>
              <w:spacing w:after="0" w:line="240" w:lineRule="auto"/>
              <w:rPr>
                <w:iCs/>
                <w:sz w:val="20"/>
                <w:szCs w:val="20"/>
                <w:u w:val="single"/>
              </w:rPr>
            </w:pPr>
            <w:r w:rsidRPr="001941B0">
              <w:rPr>
                <w:b/>
                <w:iCs/>
                <w:sz w:val="20"/>
                <w:szCs w:val="20"/>
                <w:u w:val="single"/>
              </w:rPr>
              <w:t xml:space="preserve">- po pkt 6 dodaje się pkt 7 w następującym brzmieniu: </w:t>
            </w:r>
          </w:p>
          <w:p w14:paraId="4FED926B" w14:textId="49D936AE" w:rsidR="00306E53" w:rsidRPr="001941B0" w:rsidRDefault="00306E53" w:rsidP="006E0CB2">
            <w:pPr>
              <w:autoSpaceDE w:val="0"/>
              <w:autoSpaceDN w:val="0"/>
              <w:adjustRightInd w:val="0"/>
              <w:spacing w:after="0" w:line="240" w:lineRule="auto"/>
              <w:rPr>
                <w:iCs/>
                <w:sz w:val="20"/>
                <w:szCs w:val="20"/>
              </w:rPr>
            </w:pPr>
            <w:r w:rsidRPr="001941B0">
              <w:rPr>
                <w:i/>
                <w:iCs/>
                <w:sz w:val="20"/>
                <w:szCs w:val="20"/>
              </w:rPr>
              <w:t>„7) w celu realizacji  zadań Agencji Oceny Technologii Medycznych i Taryfikacji  określonych w art. 31n pkt 1-3d</w:t>
            </w:r>
            <w:hyperlink r:id="rId15" w:anchor="/document/17127716">
              <w:r w:rsidRPr="001941B0">
                <w:rPr>
                  <w:rStyle w:val="Hipercze"/>
                  <w:i/>
                  <w:iCs/>
                  <w:sz w:val="20"/>
                  <w:szCs w:val="20"/>
                  <w:u w:val="none"/>
                </w:rPr>
                <w:t xml:space="preserve"> </w:t>
              </w:r>
            </w:hyperlink>
            <w:r w:rsidRPr="001941B0">
              <w:rPr>
                <w:i/>
                <w:iCs/>
                <w:sz w:val="20"/>
                <w:szCs w:val="20"/>
              </w:rPr>
              <w:t xml:space="preserve">i 4a-5 ustawy z dnia 27 sierpnia 2004 r. o świadczeniach opieki zdrowotnej finansowanych ze środków publicznych oraz w celu dokonywania analiz na rzecz systemu ochrony zdrowia.”; </w:t>
            </w:r>
          </w:p>
          <w:p w14:paraId="5383BF48" w14:textId="77777777" w:rsidR="00306E53" w:rsidRPr="001941B0" w:rsidRDefault="00306E53" w:rsidP="006E0CB2">
            <w:pPr>
              <w:autoSpaceDE w:val="0"/>
              <w:autoSpaceDN w:val="0"/>
              <w:adjustRightInd w:val="0"/>
              <w:spacing w:after="0" w:line="240" w:lineRule="auto"/>
              <w:rPr>
                <w:iCs/>
                <w:sz w:val="20"/>
                <w:szCs w:val="20"/>
                <w:u w:val="single"/>
              </w:rPr>
            </w:pPr>
            <w:r w:rsidRPr="001941B0">
              <w:rPr>
                <w:iCs/>
                <w:sz w:val="20"/>
                <w:szCs w:val="20"/>
                <w:u w:val="single"/>
              </w:rPr>
              <w:t xml:space="preserve">Uzasadnienie </w:t>
            </w:r>
          </w:p>
          <w:p w14:paraId="442E2B73" w14:textId="6957E464" w:rsidR="00306E53" w:rsidRPr="001941B0" w:rsidRDefault="00306E53" w:rsidP="006E0CB2">
            <w:pPr>
              <w:autoSpaceDE w:val="0"/>
              <w:autoSpaceDN w:val="0"/>
              <w:adjustRightInd w:val="0"/>
              <w:spacing w:after="0" w:line="240" w:lineRule="auto"/>
              <w:rPr>
                <w:iCs/>
                <w:sz w:val="20"/>
                <w:szCs w:val="20"/>
              </w:rPr>
            </w:pPr>
            <w:r w:rsidRPr="001941B0">
              <w:rPr>
                <w:iCs/>
                <w:sz w:val="20"/>
                <w:szCs w:val="20"/>
              </w:rPr>
              <w:t xml:space="preserve">Zasadne jest rozszerzenie celów w jakich przetwarza się dane w Hurtowni Danych e-Zdrowia, następujące cele dotyczące </w:t>
            </w:r>
            <w:r w:rsidRPr="001941B0">
              <w:rPr>
                <w:i/>
                <w:iCs/>
                <w:sz w:val="20"/>
                <w:szCs w:val="20"/>
              </w:rPr>
              <w:t xml:space="preserve"> realizacji  zadań  Agencji określone w art. 31n pkt 1-3d i 4a-5 ustawy z dnia 27 sierpnia 2004 r. o świadczeniach opieki zdrowotnej finansowanych ze środków publicznych oraz w celu dokonywania analiz na rzecz systemu ochrony zdrowia.</w:t>
            </w:r>
          </w:p>
        </w:tc>
        <w:tc>
          <w:tcPr>
            <w:tcW w:w="2855" w:type="dxa"/>
            <w:shd w:val="clear" w:color="auto" w:fill="FFFFFF" w:themeFill="background1"/>
          </w:tcPr>
          <w:p w14:paraId="29D24426" w14:textId="77777777" w:rsidR="00306E53" w:rsidRPr="001941B0" w:rsidRDefault="00976468" w:rsidP="006E0CB2">
            <w:pPr>
              <w:autoSpaceDE w:val="0"/>
              <w:autoSpaceDN w:val="0"/>
              <w:adjustRightInd w:val="0"/>
              <w:spacing w:after="0" w:line="240" w:lineRule="auto"/>
              <w:rPr>
                <w:sz w:val="20"/>
                <w:szCs w:val="20"/>
              </w:rPr>
            </w:pPr>
            <w:r w:rsidRPr="001941B0">
              <w:rPr>
                <w:sz w:val="20"/>
                <w:szCs w:val="20"/>
              </w:rPr>
              <w:lastRenderedPageBreak/>
              <w:t xml:space="preserve">Uwaga </w:t>
            </w:r>
            <w:r w:rsidR="00CD1874" w:rsidRPr="001941B0">
              <w:rPr>
                <w:sz w:val="20"/>
                <w:szCs w:val="20"/>
              </w:rPr>
              <w:t>czę</w:t>
            </w:r>
            <w:r w:rsidR="005479C8" w:rsidRPr="001941B0">
              <w:rPr>
                <w:sz w:val="20"/>
                <w:szCs w:val="20"/>
              </w:rPr>
              <w:t xml:space="preserve">ściowo </w:t>
            </w:r>
            <w:r w:rsidRPr="001941B0">
              <w:rPr>
                <w:sz w:val="20"/>
                <w:szCs w:val="20"/>
              </w:rPr>
              <w:t>uwzględniona</w:t>
            </w:r>
          </w:p>
          <w:p w14:paraId="61BF8835" w14:textId="77777777" w:rsidR="005479C8" w:rsidRPr="001941B0" w:rsidRDefault="005479C8" w:rsidP="006E0CB2">
            <w:pPr>
              <w:autoSpaceDE w:val="0"/>
              <w:autoSpaceDN w:val="0"/>
              <w:adjustRightInd w:val="0"/>
              <w:spacing w:after="0" w:line="240" w:lineRule="auto"/>
              <w:rPr>
                <w:sz w:val="20"/>
                <w:szCs w:val="20"/>
              </w:rPr>
            </w:pPr>
          </w:p>
          <w:p w14:paraId="24629C90" w14:textId="78D6533D" w:rsidR="005479C8" w:rsidRPr="001941B0" w:rsidRDefault="005479C8" w:rsidP="006E0CB2">
            <w:pPr>
              <w:autoSpaceDE w:val="0"/>
              <w:autoSpaceDN w:val="0"/>
              <w:adjustRightInd w:val="0"/>
              <w:spacing w:after="0" w:line="240" w:lineRule="auto"/>
              <w:rPr>
                <w:sz w:val="20"/>
                <w:szCs w:val="20"/>
              </w:rPr>
            </w:pPr>
            <w:r w:rsidRPr="001941B0">
              <w:rPr>
                <w:sz w:val="20"/>
                <w:szCs w:val="20"/>
              </w:rPr>
              <w:t>W zakresie rozszerz</w:t>
            </w:r>
            <w:r w:rsidR="00167917" w:rsidRPr="001941B0">
              <w:rPr>
                <w:sz w:val="20"/>
                <w:szCs w:val="20"/>
              </w:rPr>
              <w:t>e</w:t>
            </w:r>
            <w:r w:rsidRPr="001941B0">
              <w:rPr>
                <w:sz w:val="20"/>
                <w:szCs w:val="20"/>
              </w:rPr>
              <w:t>nia pkt 6 o podmioty nadzorowane przez ministra właściwego do spraw zdrowia.</w:t>
            </w:r>
          </w:p>
          <w:p w14:paraId="59323985" w14:textId="77777777" w:rsidR="005479C8" w:rsidRPr="001941B0" w:rsidRDefault="005479C8" w:rsidP="006E0CB2">
            <w:pPr>
              <w:autoSpaceDE w:val="0"/>
              <w:autoSpaceDN w:val="0"/>
              <w:adjustRightInd w:val="0"/>
              <w:spacing w:after="0" w:line="240" w:lineRule="auto"/>
              <w:rPr>
                <w:sz w:val="20"/>
                <w:szCs w:val="20"/>
              </w:rPr>
            </w:pPr>
          </w:p>
          <w:p w14:paraId="3A45C34E" w14:textId="3F64A371" w:rsidR="00306E53" w:rsidRPr="001941B0" w:rsidRDefault="005479C8" w:rsidP="006E0CB2">
            <w:pPr>
              <w:autoSpaceDE w:val="0"/>
              <w:autoSpaceDN w:val="0"/>
              <w:adjustRightInd w:val="0"/>
              <w:spacing w:after="0" w:line="240" w:lineRule="auto"/>
              <w:rPr>
                <w:sz w:val="20"/>
                <w:szCs w:val="20"/>
              </w:rPr>
            </w:pPr>
            <w:r w:rsidRPr="001941B0">
              <w:rPr>
                <w:sz w:val="20"/>
                <w:szCs w:val="20"/>
              </w:rPr>
              <w:t xml:space="preserve">Postulat dotyczący </w:t>
            </w:r>
            <w:r w:rsidR="00167917" w:rsidRPr="001941B0">
              <w:rPr>
                <w:sz w:val="20"/>
                <w:szCs w:val="20"/>
              </w:rPr>
              <w:t>dodania punktu 7 jest nadmiarowy.</w:t>
            </w:r>
          </w:p>
        </w:tc>
      </w:tr>
      <w:tr w:rsidR="00FC7212" w:rsidRPr="001941B0" w14:paraId="0625D5F2" w14:textId="77777777" w:rsidTr="7139DBB9">
        <w:tc>
          <w:tcPr>
            <w:tcW w:w="1125" w:type="dxa"/>
            <w:shd w:val="clear" w:color="auto" w:fill="FFFFFF" w:themeFill="background1"/>
          </w:tcPr>
          <w:p w14:paraId="07BCE558"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4B7174A" w14:textId="68B77287"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1367F3B"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17)</w:t>
            </w:r>
          </w:p>
          <w:p w14:paraId="4B6C4BDC" w14:textId="77777777" w:rsidR="00C149EC" w:rsidRPr="001941B0" w:rsidRDefault="00C149EC" w:rsidP="006E0CB2">
            <w:pPr>
              <w:autoSpaceDE w:val="0"/>
              <w:autoSpaceDN w:val="0"/>
              <w:adjustRightInd w:val="0"/>
              <w:spacing w:after="0" w:line="240" w:lineRule="auto"/>
              <w:rPr>
                <w:rFonts w:cs="Calibri"/>
                <w:sz w:val="20"/>
                <w:szCs w:val="20"/>
              </w:rPr>
            </w:pPr>
          </w:p>
          <w:p w14:paraId="2F05662C" w14:textId="2382119F"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21372396" w14:textId="77777777" w:rsidR="00306E53" w:rsidRPr="001941B0" w:rsidRDefault="00306E53" w:rsidP="006E0CB2">
            <w:pPr>
              <w:autoSpaceDE w:val="0"/>
              <w:autoSpaceDN w:val="0"/>
              <w:adjustRightInd w:val="0"/>
              <w:spacing w:after="0" w:line="240" w:lineRule="auto"/>
              <w:rPr>
                <w:b/>
                <w:bCs/>
                <w:iCs/>
                <w:sz w:val="20"/>
                <w:szCs w:val="20"/>
                <w:u w:val="single"/>
              </w:rPr>
            </w:pPr>
            <w:r w:rsidRPr="001941B0">
              <w:rPr>
                <w:b/>
                <w:bCs/>
                <w:iCs/>
                <w:sz w:val="20"/>
                <w:szCs w:val="20"/>
                <w:u w:val="single"/>
              </w:rPr>
              <w:t xml:space="preserve">w art. 5 pkt 17 projektu ustawy dotyczącym zmian w ustawie z dnia 28 kwietnia 2011 r. o systemie informacji w ochronie zdrowia (Dz. U. z 2025 r. poz. 302, 779, 1537 i 1705) w art. 31e: </w:t>
            </w:r>
          </w:p>
          <w:p w14:paraId="655CEE33" w14:textId="77777777" w:rsidR="00306E53" w:rsidRPr="001941B0" w:rsidRDefault="00306E53" w:rsidP="006E0CB2">
            <w:pPr>
              <w:autoSpaceDE w:val="0"/>
              <w:autoSpaceDN w:val="0"/>
              <w:adjustRightInd w:val="0"/>
              <w:spacing w:after="0" w:line="240" w:lineRule="auto"/>
              <w:rPr>
                <w:iCs/>
                <w:sz w:val="20"/>
                <w:szCs w:val="20"/>
                <w:u w:val="single"/>
              </w:rPr>
            </w:pPr>
            <w:r w:rsidRPr="001941B0">
              <w:rPr>
                <w:b/>
                <w:iCs/>
                <w:sz w:val="20"/>
                <w:szCs w:val="20"/>
                <w:u w:val="single"/>
              </w:rPr>
              <w:t xml:space="preserve">c) ust. 5 otrzymuje brzmienie: </w:t>
            </w:r>
          </w:p>
          <w:p w14:paraId="425D4FC2" w14:textId="77777777" w:rsidR="00306E53" w:rsidRPr="001941B0" w:rsidRDefault="00306E53" w:rsidP="006E0CB2">
            <w:pPr>
              <w:autoSpaceDE w:val="0"/>
              <w:autoSpaceDN w:val="0"/>
              <w:adjustRightInd w:val="0"/>
              <w:spacing w:after="0" w:line="240" w:lineRule="auto"/>
              <w:rPr>
                <w:iCs/>
                <w:sz w:val="20"/>
                <w:szCs w:val="20"/>
              </w:rPr>
            </w:pPr>
            <w:r w:rsidRPr="001941B0">
              <w:rPr>
                <w:i/>
                <w:iCs/>
                <w:sz w:val="20"/>
                <w:szCs w:val="20"/>
              </w:rPr>
              <w:t xml:space="preserve">„5. Dane przetwarzane w Hurtowni Danych e-Zdrowia podlegają pseudonimizacji, polegającej na zastąpieniu identyfikatorów osoby fizycznej, w szczególności numeru PESEL lub innego identyfikatora, stałym pseudonimem umożliwiającym powiązanie zdarzeń medycznych tej samej osoby fizycznej przez cały okres ich przetwarzania w Hurtowni Danych e-Zdrowia. Informacje umożliwiające powiązanie pseudonimu z osobą fizyczną przechowuje się wyłącznie w odrębnych częściach zbiorów, odseparowanych od bazy analitycznej Hurtowni Danych e-Zdrowia, z zastosowaniem szczególnych środków bezpieczeństwa. Dane mogą podlegać agregacji, a przetwarzanie danych umożliwiających </w:t>
            </w:r>
            <w:r w:rsidRPr="001941B0">
              <w:rPr>
                <w:i/>
                <w:iCs/>
                <w:sz w:val="20"/>
                <w:szCs w:val="20"/>
              </w:rPr>
              <w:lastRenderedPageBreak/>
              <w:t xml:space="preserve">bezpośrednią identyfikację osoby fizycznej jest dopuszczalne wyłącznie w zakresie niezbędnym do realizacji celów, o których mowa w ust. 4. </w:t>
            </w:r>
            <w:r w:rsidRPr="001941B0">
              <w:rPr>
                <w:b/>
                <w:iCs/>
                <w:sz w:val="20"/>
                <w:szCs w:val="20"/>
              </w:rPr>
              <w:t>Administrator Hurtowni Danych e-Zdrowie zapewnia mechanizm techniczny umożliwiający bezpieczne powiązanie stałego pseudonimu, o którym mowa w zdaniu pierwszym, z identyfikatorami pacjentów stosowanymi w Agencji Oceny Technologii Medycznych i Taryfikacji, bez ujawniania danych osobowych</w:t>
            </w:r>
            <w:r w:rsidRPr="001941B0">
              <w:rPr>
                <w:b/>
                <w:i/>
                <w:iCs/>
                <w:sz w:val="20"/>
                <w:szCs w:val="20"/>
              </w:rPr>
              <w:t xml:space="preserve">. </w:t>
            </w:r>
            <w:r w:rsidRPr="001941B0">
              <w:rPr>
                <w:b/>
                <w:iCs/>
                <w:sz w:val="20"/>
                <w:szCs w:val="20"/>
              </w:rPr>
              <w:t>Administrator Hurtowni Danych e</w:t>
            </w:r>
            <w:r w:rsidRPr="001941B0">
              <w:rPr>
                <w:rFonts w:ascii="Cambria Math" w:hAnsi="Cambria Math" w:cs="Cambria Math"/>
                <w:iCs/>
                <w:sz w:val="20"/>
                <w:szCs w:val="20"/>
              </w:rPr>
              <w:t>‑</w:t>
            </w:r>
            <w:r w:rsidRPr="001941B0">
              <w:rPr>
                <w:b/>
                <w:iCs/>
                <w:sz w:val="20"/>
                <w:szCs w:val="20"/>
              </w:rPr>
              <w:t>Zdrowie zapewnia możliwość udostępniania danych w formie o poziomie szczegółowości adekwatnym do realizacji ustawowych zadań podmiotów o których mowa w ust. 9, w tym danych jednostkowych, bez ujawniania danych osobowych</w:t>
            </w:r>
            <w:r w:rsidRPr="001941B0">
              <w:rPr>
                <w:b/>
                <w:i/>
                <w:iCs/>
                <w:sz w:val="20"/>
                <w:szCs w:val="20"/>
              </w:rPr>
              <w:t xml:space="preserve">”; </w:t>
            </w:r>
          </w:p>
          <w:p w14:paraId="20176D70" w14:textId="77777777" w:rsidR="00306E53" w:rsidRPr="001941B0" w:rsidRDefault="00306E53" w:rsidP="006E0CB2">
            <w:pPr>
              <w:autoSpaceDE w:val="0"/>
              <w:autoSpaceDN w:val="0"/>
              <w:adjustRightInd w:val="0"/>
              <w:spacing w:after="0" w:line="240" w:lineRule="auto"/>
              <w:rPr>
                <w:iCs/>
                <w:sz w:val="20"/>
                <w:szCs w:val="20"/>
                <w:u w:val="single"/>
              </w:rPr>
            </w:pPr>
            <w:r w:rsidRPr="001941B0">
              <w:rPr>
                <w:iCs/>
                <w:sz w:val="20"/>
                <w:szCs w:val="20"/>
                <w:u w:val="single"/>
              </w:rPr>
              <w:t xml:space="preserve">Uzasadnienie </w:t>
            </w:r>
          </w:p>
          <w:p w14:paraId="2A27EEBA" w14:textId="74A72C66" w:rsidR="00306E53" w:rsidRPr="001941B0" w:rsidRDefault="00306E53" w:rsidP="006E0CB2">
            <w:pPr>
              <w:autoSpaceDE w:val="0"/>
              <w:autoSpaceDN w:val="0"/>
              <w:adjustRightInd w:val="0"/>
              <w:spacing w:after="0" w:line="240" w:lineRule="auto"/>
              <w:rPr>
                <w:iCs/>
                <w:sz w:val="20"/>
                <w:szCs w:val="20"/>
              </w:rPr>
            </w:pPr>
            <w:r w:rsidRPr="001941B0">
              <w:rPr>
                <w:iCs/>
                <w:sz w:val="20"/>
                <w:szCs w:val="20"/>
              </w:rPr>
              <w:t xml:space="preserve">Agencja wnosi o uzupełnienie ust. 5 o przepis gwarantujący interoperacyjność identyfikatorów: „Administrator Hurtowni Danych e-Zdrowie zapewnia mechanizm techniczny umożliwiający bezpieczne powiązanie (zmapowanie) stałego pseudonimu, o którym mowa w zdaniu pierwszym, z identyfikatorami pacjentów stosowanymi w Agencji, bez ujawniania danych osobowych.” System e-zdrowia nie powinien tworzyć „silosów danych”. Agencja gromadzi dane o kosztach rzeczywistych bezpośrednio od szpitali (dane te mają własną pseudonimizację). Aby ocenić efektywność leczenia (dane z Hurtowni Danych e-Zdrowia) w kontekście jego kosztu (dane Agencji), konieczne jest techniczne połączenie rekordów tego samego pacjenta z obu zasobów danych. Bez zagwarantowanego ustawowo mechanizmu mapowania kluczy (np. w ramach usługi Master Person Index), zbiory te pozostaną rozłączne, czyniąc analizy farmakoekonomiczne niemożliwymi do wykonania. Brak możliwości realizacji analiz ścieżek pacjenta łączących zdarzenia medyczne z Hurtowni Danych e-Zdrowia z kosztami z Agencji.  </w:t>
            </w:r>
          </w:p>
          <w:p w14:paraId="7D2D7C39" w14:textId="08D414FF" w:rsidR="00306E53" w:rsidRPr="001941B0" w:rsidRDefault="00306E53" w:rsidP="006E0CB2">
            <w:pPr>
              <w:autoSpaceDE w:val="0"/>
              <w:autoSpaceDN w:val="0"/>
              <w:adjustRightInd w:val="0"/>
              <w:spacing w:after="0" w:line="240" w:lineRule="auto"/>
              <w:rPr>
                <w:b/>
                <w:bCs/>
                <w:iCs/>
                <w:sz w:val="20"/>
                <w:szCs w:val="20"/>
                <w:u w:val="single"/>
              </w:rPr>
            </w:pPr>
            <w:r w:rsidRPr="001941B0">
              <w:rPr>
                <w:iCs/>
                <w:sz w:val="20"/>
                <w:szCs w:val="20"/>
              </w:rPr>
              <w:t xml:space="preserve">Ponadto Agencja wnosi o uzupełnienie art. 31e ust. 5 o przepis gwarantujący, że dane udostępniane uprawnionym podmiotom (w tym Agencji) mogą być przekazywane w formie niezbędnej do realizacji ustawowych zadań Agencji, w </w:t>
            </w:r>
            <w:r w:rsidRPr="001941B0">
              <w:rPr>
                <w:iCs/>
                <w:sz w:val="20"/>
                <w:szCs w:val="20"/>
              </w:rPr>
              <w:lastRenderedPageBreak/>
              <w:t>szczególności w formie jednostkowej, bez stosowania nieodwracalnej lub nadmiernej agregacji. Przpeis wskazujący, że „dane mogą podlegać agregacji” sugeruje, że dane dostępne użytkownikom mogą być ograniczone do postaci zbiorczej. W praktyce oznacza to brak dostępu do informacji o przebiegu leczenia poszczególnych pacjentów, nawet w formie pseudonimizowanej. Dla Agencji  dostęp do jednostkowych danych pseudonimizowanych, a nie jedynie zagregowanych, jest niezbędny. Agregacja danych eliminuje możliwość przeprowadzenia większości analiz farmakoekonomicznych, epidemiologicznych i taryfikacyjnych, kluczowych dla zadań Agencji. W obecnym brzmieniu przepis dopuszcza dowolnie szeroką agregację, która nie pozostawia gwarancji, że dane będą dostępne w formie umożliwiającej ich analityczne wykorzystanie. Ograniczenie potencjału Hurtowni Danych e</w:t>
            </w:r>
            <w:r w:rsidRPr="001941B0">
              <w:rPr>
                <w:rFonts w:ascii="Cambria Math" w:hAnsi="Cambria Math" w:cs="Cambria Math"/>
                <w:iCs/>
                <w:sz w:val="20"/>
                <w:szCs w:val="20"/>
              </w:rPr>
              <w:t>‑</w:t>
            </w:r>
            <w:r w:rsidRPr="001941B0">
              <w:rPr>
                <w:iCs/>
                <w:sz w:val="20"/>
                <w:szCs w:val="20"/>
              </w:rPr>
              <w:t xml:space="preserve">Zdrowie do poziomu statystycznych zestawień, bez realnej wartości dla oceny świadczeń i terapii. </w:t>
            </w:r>
          </w:p>
        </w:tc>
        <w:tc>
          <w:tcPr>
            <w:tcW w:w="2855" w:type="dxa"/>
            <w:shd w:val="clear" w:color="auto" w:fill="FFFFFF" w:themeFill="background1"/>
          </w:tcPr>
          <w:p w14:paraId="4A7A8183" w14:textId="77777777" w:rsidR="00306E53" w:rsidRPr="001941B0" w:rsidRDefault="0055547D"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29625A80" w14:textId="03E5B039" w:rsidR="00CA511B" w:rsidRPr="001941B0" w:rsidRDefault="00D1729B" w:rsidP="006E0CB2">
            <w:pPr>
              <w:autoSpaceDE w:val="0"/>
              <w:autoSpaceDN w:val="0"/>
              <w:adjustRightInd w:val="0"/>
              <w:spacing w:after="0" w:line="240" w:lineRule="auto"/>
              <w:rPr>
                <w:sz w:val="20"/>
                <w:szCs w:val="20"/>
              </w:rPr>
            </w:pPr>
            <w:r w:rsidRPr="001941B0">
              <w:rPr>
                <w:sz w:val="20"/>
                <w:szCs w:val="20"/>
              </w:rPr>
              <w:t xml:space="preserve">Uwaga wymaga dostosowania </w:t>
            </w:r>
            <w:r w:rsidR="001F6628" w:rsidRPr="001941B0">
              <w:rPr>
                <w:sz w:val="20"/>
                <w:szCs w:val="20"/>
              </w:rPr>
              <w:t xml:space="preserve">do </w:t>
            </w:r>
            <w:r w:rsidRPr="001941B0">
              <w:rPr>
                <w:sz w:val="20"/>
                <w:szCs w:val="20"/>
              </w:rPr>
              <w:t xml:space="preserve">systemu AOTMiT i </w:t>
            </w:r>
            <w:r w:rsidR="001F6628" w:rsidRPr="001941B0">
              <w:rPr>
                <w:sz w:val="20"/>
                <w:szCs w:val="20"/>
              </w:rPr>
              <w:t>przetwarzania</w:t>
            </w:r>
            <w:r w:rsidRPr="001941B0">
              <w:rPr>
                <w:sz w:val="20"/>
                <w:szCs w:val="20"/>
              </w:rPr>
              <w:t xml:space="preserve"> danych przez AOTMiT</w:t>
            </w:r>
            <w:r w:rsidR="001F6628" w:rsidRPr="001941B0">
              <w:rPr>
                <w:sz w:val="20"/>
                <w:szCs w:val="20"/>
              </w:rPr>
              <w:t xml:space="preserve">, co </w:t>
            </w:r>
            <w:r w:rsidR="00D07A69" w:rsidRPr="001941B0">
              <w:rPr>
                <w:sz w:val="20"/>
                <w:szCs w:val="20"/>
              </w:rPr>
              <w:t>byłoby</w:t>
            </w:r>
            <w:r w:rsidR="001F6628" w:rsidRPr="001941B0">
              <w:rPr>
                <w:sz w:val="20"/>
                <w:szCs w:val="20"/>
              </w:rPr>
              <w:t xml:space="preserve"> regulacją </w:t>
            </w:r>
            <w:r w:rsidR="008F2C15" w:rsidRPr="001941B0">
              <w:rPr>
                <w:sz w:val="20"/>
                <w:szCs w:val="20"/>
              </w:rPr>
              <w:t>nadmiarową,</w:t>
            </w:r>
            <w:r w:rsidR="001F6628" w:rsidRPr="001941B0">
              <w:rPr>
                <w:sz w:val="20"/>
                <w:szCs w:val="20"/>
              </w:rPr>
              <w:t xml:space="preserve"> </w:t>
            </w:r>
            <w:r w:rsidR="008F2C15" w:rsidRPr="001941B0">
              <w:rPr>
                <w:sz w:val="20"/>
                <w:szCs w:val="20"/>
              </w:rPr>
              <w:t>gdyż hurtownia ma służyć różnym podmiotom publicznym.</w:t>
            </w:r>
          </w:p>
          <w:p w14:paraId="7455D2C7" w14:textId="77777777" w:rsidR="00D1729B" w:rsidRPr="001941B0" w:rsidRDefault="00D1729B" w:rsidP="006E0CB2">
            <w:pPr>
              <w:autoSpaceDE w:val="0"/>
              <w:autoSpaceDN w:val="0"/>
              <w:adjustRightInd w:val="0"/>
              <w:spacing w:after="0" w:line="240" w:lineRule="auto"/>
              <w:rPr>
                <w:sz w:val="20"/>
                <w:szCs w:val="20"/>
              </w:rPr>
            </w:pPr>
          </w:p>
          <w:p w14:paraId="55039988" w14:textId="3522ECFC" w:rsidR="00306E53" w:rsidRPr="001941B0" w:rsidRDefault="00306E53" w:rsidP="006E0CB2">
            <w:pPr>
              <w:autoSpaceDE w:val="0"/>
              <w:autoSpaceDN w:val="0"/>
              <w:adjustRightInd w:val="0"/>
              <w:spacing w:after="0" w:line="240" w:lineRule="auto"/>
              <w:rPr>
                <w:sz w:val="20"/>
                <w:szCs w:val="20"/>
              </w:rPr>
            </w:pPr>
          </w:p>
        </w:tc>
      </w:tr>
      <w:tr w:rsidR="00FC7212" w:rsidRPr="001941B0" w14:paraId="697BD95B" w14:textId="77777777" w:rsidTr="7139DBB9">
        <w:tc>
          <w:tcPr>
            <w:tcW w:w="1125" w:type="dxa"/>
            <w:shd w:val="clear" w:color="auto" w:fill="FFFFFF" w:themeFill="background1"/>
          </w:tcPr>
          <w:p w14:paraId="2CEC4FE3"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0C17642" w14:textId="1F0F5BE3"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3179FDC0"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17)</w:t>
            </w:r>
          </w:p>
          <w:p w14:paraId="18E27DB2" w14:textId="7E1F0B24"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4EBD8B3" w14:textId="77777777" w:rsidR="00306E53" w:rsidRPr="001941B0" w:rsidRDefault="00306E53" w:rsidP="006E0CB2">
            <w:pPr>
              <w:autoSpaceDE w:val="0"/>
              <w:autoSpaceDN w:val="0"/>
              <w:adjustRightInd w:val="0"/>
              <w:spacing w:after="0" w:line="240" w:lineRule="auto"/>
              <w:rPr>
                <w:b/>
                <w:bCs/>
                <w:iCs/>
                <w:sz w:val="20"/>
                <w:szCs w:val="20"/>
                <w:u w:val="single"/>
              </w:rPr>
            </w:pPr>
            <w:r w:rsidRPr="001941B0">
              <w:rPr>
                <w:b/>
                <w:bCs/>
                <w:iCs/>
                <w:sz w:val="20"/>
                <w:szCs w:val="20"/>
                <w:u w:val="single"/>
              </w:rPr>
              <w:t xml:space="preserve">w art. 5 pkt 17 projektu ustawy dotyczącym zmian w ustawie z dnia 28 kwietnia 2011 r. o systemie informacji w ochronie zdrowia (Dz. U. z 2025 r. poz. 302, 779, 1537 i 1705) w art. 31e: </w:t>
            </w:r>
          </w:p>
          <w:p w14:paraId="59A74770" w14:textId="26F1C516" w:rsidR="00306E53" w:rsidRPr="001941B0" w:rsidRDefault="00306E53" w:rsidP="006E0CB2">
            <w:pPr>
              <w:autoSpaceDE w:val="0"/>
              <w:autoSpaceDN w:val="0"/>
              <w:adjustRightInd w:val="0"/>
              <w:spacing w:after="0" w:line="240" w:lineRule="auto"/>
              <w:rPr>
                <w:iCs/>
                <w:sz w:val="20"/>
                <w:szCs w:val="20"/>
              </w:rPr>
            </w:pPr>
            <w:r w:rsidRPr="001941B0">
              <w:rPr>
                <w:b/>
                <w:iCs/>
                <w:sz w:val="20"/>
                <w:szCs w:val="20"/>
              </w:rPr>
              <w:t xml:space="preserve">d) ust.9 otrzymuje brzmienie: </w:t>
            </w:r>
          </w:p>
          <w:p w14:paraId="38E07823" w14:textId="77777777" w:rsidR="00306E53" w:rsidRPr="001941B0" w:rsidRDefault="00306E53" w:rsidP="006E0CB2">
            <w:pPr>
              <w:autoSpaceDE w:val="0"/>
              <w:autoSpaceDN w:val="0"/>
              <w:adjustRightInd w:val="0"/>
              <w:spacing w:after="0" w:line="240" w:lineRule="auto"/>
              <w:rPr>
                <w:iCs/>
                <w:sz w:val="20"/>
                <w:szCs w:val="20"/>
              </w:rPr>
            </w:pPr>
            <w:r w:rsidRPr="001941B0">
              <w:rPr>
                <w:i/>
                <w:iCs/>
                <w:sz w:val="20"/>
                <w:szCs w:val="20"/>
              </w:rPr>
              <w:t xml:space="preserve">„9. Analizy oraz inne dokumenty, o których mowa w ust. 4, są udostępniane: </w:t>
            </w:r>
          </w:p>
          <w:p w14:paraId="166DA565" w14:textId="77777777" w:rsidR="00306E53" w:rsidRPr="001941B0" w:rsidRDefault="00306E53" w:rsidP="00306E53">
            <w:pPr>
              <w:numPr>
                <w:ilvl w:val="0"/>
                <w:numId w:val="18"/>
              </w:numPr>
              <w:autoSpaceDE w:val="0"/>
              <w:autoSpaceDN w:val="0"/>
              <w:adjustRightInd w:val="0"/>
              <w:spacing w:after="0" w:line="240" w:lineRule="auto"/>
              <w:ind w:left="232"/>
              <w:rPr>
                <w:iCs/>
                <w:sz w:val="20"/>
                <w:szCs w:val="20"/>
              </w:rPr>
            </w:pPr>
            <w:r w:rsidRPr="001941B0">
              <w:rPr>
                <w:i/>
                <w:iCs/>
                <w:sz w:val="20"/>
                <w:szCs w:val="20"/>
              </w:rPr>
              <w:t xml:space="preserve">Agencji Oceny Technologii Medycznych i Taryfikacji, </w:t>
            </w:r>
          </w:p>
          <w:p w14:paraId="076EC7FF" w14:textId="77777777" w:rsidR="00306E53" w:rsidRPr="001941B0" w:rsidRDefault="00306E53" w:rsidP="00306E53">
            <w:pPr>
              <w:numPr>
                <w:ilvl w:val="0"/>
                <w:numId w:val="18"/>
              </w:numPr>
              <w:autoSpaceDE w:val="0"/>
              <w:autoSpaceDN w:val="0"/>
              <w:adjustRightInd w:val="0"/>
              <w:spacing w:after="0" w:line="240" w:lineRule="auto"/>
              <w:ind w:left="232"/>
              <w:rPr>
                <w:iCs/>
                <w:sz w:val="20"/>
                <w:szCs w:val="20"/>
              </w:rPr>
            </w:pPr>
            <w:r w:rsidRPr="001941B0">
              <w:rPr>
                <w:i/>
                <w:iCs/>
                <w:sz w:val="20"/>
                <w:szCs w:val="20"/>
              </w:rPr>
              <w:t xml:space="preserve">Głównemu Inspektorowi Farmaceutycznemu, </w:t>
            </w:r>
          </w:p>
          <w:p w14:paraId="3FFB2CDF" w14:textId="77777777" w:rsidR="00306E53" w:rsidRPr="001941B0" w:rsidRDefault="00306E53" w:rsidP="00306E53">
            <w:pPr>
              <w:numPr>
                <w:ilvl w:val="0"/>
                <w:numId w:val="18"/>
              </w:numPr>
              <w:autoSpaceDE w:val="0"/>
              <w:autoSpaceDN w:val="0"/>
              <w:adjustRightInd w:val="0"/>
              <w:spacing w:after="0" w:line="240" w:lineRule="auto"/>
              <w:ind w:left="232"/>
              <w:rPr>
                <w:iCs/>
                <w:sz w:val="20"/>
                <w:szCs w:val="20"/>
              </w:rPr>
            </w:pPr>
            <w:r w:rsidRPr="001941B0">
              <w:rPr>
                <w:i/>
                <w:iCs/>
                <w:sz w:val="20"/>
                <w:szCs w:val="20"/>
              </w:rPr>
              <w:t xml:space="preserve">Narodowemu Funduszowi Zdrowia, </w:t>
            </w:r>
          </w:p>
          <w:p w14:paraId="21F5396F" w14:textId="77777777" w:rsidR="00306E53" w:rsidRPr="001941B0" w:rsidRDefault="00306E53" w:rsidP="00306E53">
            <w:pPr>
              <w:numPr>
                <w:ilvl w:val="0"/>
                <w:numId w:val="18"/>
              </w:numPr>
              <w:autoSpaceDE w:val="0"/>
              <w:autoSpaceDN w:val="0"/>
              <w:adjustRightInd w:val="0"/>
              <w:spacing w:after="0" w:line="240" w:lineRule="auto"/>
              <w:ind w:left="232"/>
              <w:rPr>
                <w:iCs/>
                <w:sz w:val="20"/>
                <w:szCs w:val="20"/>
              </w:rPr>
            </w:pPr>
            <w:r w:rsidRPr="001941B0">
              <w:rPr>
                <w:i/>
                <w:iCs/>
                <w:sz w:val="20"/>
                <w:szCs w:val="20"/>
              </w:rPr>
              <w:t xml:space="preserve">Głównemu Inspektorowi Sanitarnemu, </w:t>
            </w:r>
          </w:p>
          <w:p w14:paraId="57A929AB" w14:textId="77777777" w:rsidR="00306E53" w:rsidRPr="001941B0" w:rsidRDefault="00306E53" w:rsidP="00306E53">
            <w:pPr>
              <w:numPr>
                <w:ilvl w:val="0"/>
                <w:numId w:val="18"/>
              </w:numPr>
              <w:autoSpaceDE w:val="0"/>
              <w:autoSpaceDN w:val="0"/>
              <w:adjustRightInd w:val="0"/>
              <w:spacing w:after="0" w:line="240" w:lineRule="auto"/>
              <w:ind w:left="232"/>
              <w:rPr>
                <w:iCs/>
                <w:sz w:val="20"/>
                <w:szCs w:val="20"/>
              </w:rPr>
            </w:pPr>
            <w:r w:rsidRPr="001941B0">
              <w:rPr>
                <w:i/>
                <w:iCs/>
                <w:sz w:val="20"/>
                <w:szCs w:val="20"/>
              </w:rPr>
              <w:t xml:space="preserve">innym podmiotom, upoważnionym na podstawie odrębnych przepisów – w celu realizacji ich zadań.”  </w:t>
            </w:r>
          </w:p>
          <w:p w14:paraId="7FCCCBC8" w14:textId="7811F41D" w:rsidR="00306E53" w:rsidRPr="001941B0" w:rsidRDefault="00306E53" w:rsidP="006E0CB2">
            <w:pPr>
              <w:autoSpaceDE w:val="0"/>
              <w:autoSpaceDN w:val="0"/>
              <w:adjustRightInd w:val="0"/>
              <w:spacing w:after="0" w:line="240" w:lineRule="auto"/>
              <w:rPr>
                <w:iCs/>
                <w:sz w:val="20"/>
                <w:szCs w:val="20"/>
                <w:u w:val="single"/>
              </w:rPr>
            </w:pPr>
            <w:r w:rsidRPr="001941B0">
              <w:rPr>
                <w:iCs/>
                <w:sz w:val="20"/>
                <w:szCs w:val="20"/>
                <w:u w:val="single"/>
              </w:rPr>
              <w:t>Uzasadnienie</w:t>
            </w:r>
            <w:r w:rsidRPr="001941B0">
              <w:rPr>
                <w:iCs/>
                <w:sz w:val="20"/>
                <w:szCs w:val="20"/>
              </w:rPr>
              <w:t xml:space="preserve"> </w:t>
            </w:r>
          </w:p>
          <w:p w14:paraId="43FCE696" w14:textId="7A96F877" w:rsidR="00306E53" w:rsidRPr="001941B0" w:rsidRDefault="00306E53" w:rsidP="006E0CB2">
            <w:pPr>
              <w:autoSpaceDE w:val="0"/>
              <w:autoSpaceDN w:val="0"/>
              <w:adjustRightInd w:val="0"/>
              <w:spacing w:after="0" w:line="240" w:lineRule="auto"/>
              <w:rPr>
                <w:iCs/>
                <w:sz w:val="20"/>
                <w:szCs w:val="20"/>
              </w:rPr>
            </w:pPr>
            <w:r w:rsidRPr="001941B0">
              <w:rPr>
                <w:iCs/>
                <w:sz w:val="20"/>
                <w:szCs w:val="20"/>
              </w:rPr>
              <w:t xml:space="preserve">Zasadne jest dodanie w przedmiotowym przepisie, że wskazanym organom są udostępniane nie tylko analizy ale również inne dokumenty wskazane w art. 31e ust. 4 ustawy z dnia 28 kwietnia 2011 r. o systemie informacji w ochronie zdrowia. </w:t>
            </w:r>
          </w:p>
        </w:tc>
        <w:tc>
          <w:tcPr>
            <w:tcW w:w="2855" w:type="dxa"/>
            <w:shd w:val="clear" w:color="auto" w:fill="FFFFFF" w:themeFill="background1"/>
          </w:tcPr>
          <w:p w14:paraId="5A233A55" w14:textId="77777777" w:rsidR="00306E53" w:rsidRPr="001941B0" w:rsidRDefault="00C5654A" w:rsidP="006E0CB2">
            <w:pPr>
              <w:autoSpaceDE w:val="0"/>
              <w:autoSpaceDN w:val="0"/>
              <w:adjustRightInd w:val="0"/>
              <w:spacing w:after="0" w:line="240" w:lineRule="auto"/>
              <w:rPr>
                <w:b/>
                <w:sz w:val="20"/>
                <w:szCs w:val="20"/>
              </w:rPr>
            </w:pPr>
            <w:r w:rsidRPr="001941B0">
              <w:rPr>
                <w:b/>
                <w:sz w:val="20"/>
                <w:szCs w:val="20"/>
              </w:rPr>
              <w:t>Uwaga uwzględniona</w:t>
            </w:r>
          </w:p>
          <w:p w14:paraId="034D5290" w14:textId="77777777" w:rsidR="0030296D" w:rsidRPr="001941B0" w:rsidRDefault="0030296D" w:rsidP="006E0CB2">
            <w:pPr>
              <w:autoSpaceDE w:val="0"/>
              <w:autoSpaceDN w:val="0"/>
              <w:adjustRightInd w:val="0"/>
              <w:spacing w:after="0" w:line="240" w:lineRule="auto"/>
              <w:rPr>
                <w:sz w:val="20"/>
                <w:szCs w:val="20"/>
              </w:rPr>
            </w:pPr>
          </w:p>
          <w:p w14:paraId="5826F46D" w14:textId="4339C569" w:rsidR="00F27B9B" w:rsidRPr="001941B0" w:rsidRDefault="00F27B9B" w:rsidP="006E0CB2">
            <w:pPr>
              <w:autoSpaceDE w:val="0"/>
              <w:autoSpaceDN w:val="0"/>
              <w:adjustRightInd w:val="0"/>
              <w:spacing w:after="0" w:line="240" w:lineRule="auto"/>
              <w:rPr>
                <w:sz w:val="20"/>
                <w:szCs w:val="20"/>
              </w:rPr>
            </w:pPr>
          </w:p>
        </w:tc>
      </w:tr>
      <w:tr w:rsidR="00FC7212" w:rsidRPr="001941B0" w14:paraId="5E923CB9" w14:textId="77777777" w:rsidTr="7139DBB9">
        <w:tc>
          <w:tcPr>
            <w:tcW w:w="1125" w:type="dxa"/>
            <w:shd w:val="clear" w:color="auto" w:fill="FFFFFF" w:themeFill="background1"/>
          </w:tcPr>
          <w:p w14:paraId="32692895"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746B9F1" w14:textId="00CDFD7B"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Agencja Oceny Technologii Medycznych i Taryfikacji</w:t>
            </w:r>
          </w:p>
        </w:tc>
        <w:tc>
          <w:tcPr>
            <w:tcW w:w="1949" w:type="dxa"/>
            <w:shd w:val="clear" w:color="auto" w:fill="FFFFFF" w:themeFill="background1"/>
          </w:tcPr>
          <w:p w14:paraId="1EAE9C1C"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17)</w:t>
            </w:r>
          </w:p>
          <w:p w14:paraId="5723B81F" w14:textId="77777777" w:rsidR="00FE2575" w:rsidRPr="001941B0" w:rsidRDefault="00FE2575" w:rsidP="006E0CB2">
            <w:pPr>
              <w:autoSpaceDE w:val="0"/>
              <w:autoSpaceDN w:val="0"/>
              <w:adjustRightInd w:val="0"/>
              <w:spacing w:after="0" w:line="240" w:lineRule="auto"/>
              <w:rPr>
                <w:rFonts w:cs="Calibri"/>
                <w:sz w:val="20"/>
                <w:szCs w:val="20"/>
              </w:rPr>
            </w:pPr>
          </w:p>
          <w:p w14:paraId="3F5815E9" w14:textId="53768224"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D56E61B" w14:textId="77777777" w:rsidR="00306E53" w:rsidRPr="001941B0" w:rsidRDefault="00306E53" w:rsidP="006E0CB2">
            <w:pPr>
              <w:autoSpaceDE w:val="0"/>
              <w:autoSpaceDN w:val="0"/>
              <w:adjustRightInd w:val="0"/>
              <w:spacing w:after="0" w:line="240" w:lineRule="auto"/>
              <w:rPr>
                <w:b/>
                <w:bCs/>
                <w:iCs/>
                <w:sz w:val="20"/>
                <w:szCs w:val="20"/>
                <w:u w:val="single"/>
              </w:rPr>
            </w:pPr>
            <w:r w:rsidRPr="001941B0">
              <w:rPr>
                <w:b/>
                <w:bCs/>
                <w:iCs/>
                <w:sz w:val="20"/>
                <w:szCs w:val="20"/>
                <w:u w:val="single"/>
              </w:rPr>
              <w:t xml:space="preserve">w art. 5 pkt 17 projektu ustawy dotyczącym zmian w ustawie z dnia 28 kwietnia 2011 r. o systemie informacji w ochronie zdrowia (Dz. U. z 2025 r. poz. 302, 779, 1537 i 1705) w art. 31e: </w:t>
            </w:r>
          </w:p>
          <w:p w14:paraId="03EBCF3D" w14:textId="77777777" w:rsidR="00306E53" w:rsidRPr="001941B0" w:rsidRDefault="00306E53" w:rsidP="006E0CB2">
            <w:pPr>
              <w:autoSpaceDE w:val="0"/>
              <w:autoSpaceDN w:val="0"/>
              <w:adjustRightInd w:val="0"/>
              <w:spacing w:after="0" w:line="240" w:lineRule="auto"/>
              <w:rPr>
                <w:b/>
                <w:bCs/>
                <w:iCs/>
                <w:sz w:val="20"/>
                <w:szCs w:val="20"/>
                <w:u w:val="single"/>
              </w:rPr>
            </w:pPr>
            <w:r w:rsidRPr="001941B0">
              <w:rPr>
                <w:b/>
                <w:bCs/>
                <w:iCs/>
                <w:sz w:val="20"/>
                <w:szCs w:val="20"/>
                <w:u w:val="single"/>
              </w:rPr>
              <w:t xml:space="preserve">e) po ust. 9 dodaje się ust. 10 i 11 w brzmieniu: </w:t>
            </w:r>
          </w:p>
          <w:p w14:paraId="74CD7480" w14:textId="5F406935" w:rsidR="00306E53" w:rsidRPr="001941B0" w:rsidRDefault="00306E53" w:rsidP="006E0CB2">
            <w:pPr>
              <w:autoSpaceDE w:val="0"/>
              <w:autoSpaceDN w:val="0"/>
              <w:adjustRightInd w:val="0"/>
              <w:spacing w:after="0" w:line="240" w:lineRule="auto"/>
              <w:rPr>
                <w:iCs/>
                <w:sz w:val="20"/>
                <w:szCs w:val="20"/>
              </w:rPr>
            </w:pPr>
            <w:r w:rsidRPr="001941B0">
              <w:rPr>
                <w:i/>
                <w:iCs/>
                <w:sz w:val="20"/>
                <w:szCs w:val="20"/>
              </w:rPr>
              <w:t>„10. Minister właściwy do spraw zdrowia udostępnia Agencji Oceny Technologii Medycznych i Taryfikacji pseudonimizowane dane jednostkowe gromadzone w Hurtowni Danych e-Zdrowia niezbędne do realizacji zadań określonych w art. 31n pkt 1-3d</w:t>
            </w:r>
            <w:hyperlink r:id="rId16" w:anchor="/document/17127716">
              <w:r w:rsidRPr="001941B0">
                <w:rPr>
                  <w:rStyle w:val="Hipercze"/>
                  <w:i/>
                  <w:iCs/>
                  <w:sz w:val="20"/>
                  <w:szCs w:val="20"/>
                  <w:u w:val="none"/>
                </w:rPr>
                <w:t xml:space="preserve"> </w:t>
              </w:r>
            </w:hyperlink>
            <w:r w:rsidRPr="001941B0">
              <w:rPr>
                <w:i/>
                <w:iCs/>
                <w:sz w:val="20"/>
                <w:szCs w:val="20"/>
              </w:rPr>
              <w:t xml:space="preserve">i 4a-5 ustawy z dnia 27 sierpnia 2004 r. o świadczeniach opieki zdrowotnej finansowanych ze środków publicznych oraz w celu dokonywania analiz na rzecz systemu ochrony zdrowia. </w:t>
            </w:r>
          </w:p>
          <w:p w14:paraId="08FB3CAD" w14:textId="77777777" w:rsidR="00306E53" w:rsidRPr="001941B0" w:rsidRDefault="00306E53" w:rsidP="006E0CB2">
            <w:pPr>
              <w:autoSpaceDE w:val="0"/>
              <w:autoSpaceDN w:val="0"/>
              <w:adjustRightInd w:val="0"/>
              <w:spacing w:after="0" w:line="240" w:lineRule="auto"/>
              <w:rPr>
                <w:iCs/>
                <w:sz w:val="20"/>
                <w:szCs w:val="20"/>
              </w:rPr>
            </w:pPr>
            <w:r w:rsidRPr="001941B0">
              <w:rPr>
                <w:i/>
                <w:iCs/>
                <w:sz w:val="20"/>
                <w:szCs w:val="20"/>
              </w:rPr>
              <w:t xml:space="preserve">11. Udostępnienie danych, o których mowa w ust. 10, następuje w sposób zautomatyzowany, umożliwiający ich przetwarzanie w infrastrukturze teleinformatycznej Agencji, przy wykorzystaniu dedykowanych interfejsów programistycznych (API) lub mechanizmów replikacji.”; </w:t>
            </w:r>
          </w:p>
          <w:p w14:paraId="1AB0C765" w14:textId="77777777" w:rsidR="00306E53" w:rsidRPr="001941B0" w:rsidRDefault="00306E53" w:rsidP="006E0CB2">
            <w:pPr>
              <w:autoSpaceDE w:val="0"/>
              <w:autoSpaceDN w:val="0"/>
              <w:adjustRightInd w:val="0"/>
              <w:spacing w:after="0" w:line="240" w:lineRule="auto"/>
              <w:rPr>
                <w:iCs/>
                <w:sz w:val="20"/>
                <w:szCs w:val="20"/>
                <w:u w:val="single"/>
              </w:rPr>
            </w:pPr>
            <w:r w:rsidRPr="001941B0">
              <w:rPr>
                <w:iCs/>
                <w:sz w:val="20"/>
                <w:szCs w:val="20"/>
                <w:u w:val="single"/>
              </w:rPr>
              <w:t xml:space="preserve">Uzasadnienie </w:t>
            </w:r>
          </w:p>
          <w:p w14:paraId="0A4BCD87" w14:textId="343CA8F0" w:rsidR="00306E53" w:rsidRPr="001941B0" w:rsidRDefault="00306E53" w:rsidP="006E0CB2">
            <w:pPr>
              <w:autoSpaceDE w:val="0"/>
              <w:autoSpaceDN w:val="0"/>
              <w:adjustRightInd w:val="0"/>
              <w:spacing w:after="0" w:line="240" w:lineRule="auto"/>
              <w:rPr>
                <w:iCs/>
                <w:sz w:val="20"/>
                <w:szCs w:val="20"/>
              </w:rPr>
            </w:pPr>
            <w:r w:rsidRPr="001941B0">
              <w:rPr>
                <w:iCs/>
                <w:sz w:val="20"/>
                <w:szCs w:val="20"/>
              </w:rPr>
              <w:t>Pomimo, że przepis zawarty w art. 31e ust. 9 umożliwia Agencji pozyskiwanie analiz dokonywanych w Hurtowni danych e-Zdrowia to z racji powierzonych Agencji zadań ustawowych, o których mowa w art. 31n pkt 1-3d</w:t>
            </w:r>
            <w:hyperlink r:id="rId17" w:anchor="/document/17127716">
              <w:r w:rsidRPr="001941B0">
                <w:rPr>
                  <w:rStyle w:val="Hipercze"/>
                  <w:iCs/>
                  <w:sz w:val="20"/>
                  <w:szCs w:val="20"/>
                  <w:u w:val="none"/>
                </w:rPr>
                <w:t xml:space="preserve"> </w:t>
              </w:r>
            </w:hyperlink>
            <w:r w:rsidRPr="001941B0">
              <w:rPr>
                <w:iCs/>
                <w:sz w:val="20"/>
                <w:szCs w:val="20"/>
              </w:rPr>
              <w:t xml:space="preserve">i 4a-5 ustawy o świadczeniach zasadne jest przekazywanie do Agencji w sposób zautomatyzowany pełnych, pseudonimizowanych danych jednostkowych gromadzonych w Hurtowni Danych e-Zdrowia. Agencja nie może bazować na danych przetworzonych przez inny podmiot, musi mieć możliwość prowadzenia własnych analiz i budowania modeli analitycznych na bazie danych surowych, nie przetworzonych i niezagregowanych wykorzystując również inne dane, które posiada w swoich zbiorach, pochodzące z innych źródeł.  Przedmiotowe dane są również niezbędne Agencji  w celu uzyskania rezultatów Projektów realizowanych w Agencji w ramach Programu Badawczo-Rozwojowego. </w:t>
            </w:r>
          </w:p>
          <w:p w14:paraId="1918699F" w14:textId="77777777" w:rsidR="00306E53" w:rsidRPr="001941B0" w:rsidRDefault="00306E53" w:rsidP="006E0CB2">
            <w:pPr>
              <w:autoSpaceDE w:val="0"/>
              <w:autoSpaceDN w:val="0"/>
              <w:adjustRightInd w:val="0"/>
              <w:spacing w:after="0" w:line="240" w:lineRule="auto"/>
              <w:rPr>
                <w:iCs/>
                <w:sz w:val="20"/>
                <w:szCs w:val="20"/>
              </w:rPr>
            </w:pPr>
            <w:r w:rsidRPr="001941B0">
              <w:rPr>
                <w:iCs/>
                <w:sz w:val="20"/>
                <w:szCs w:val="20"/>
              </w:rPr>
              <w:t xml:space="preserve">Agencja wnosi o dodanie w art. 31e ust. 10 i 11.  Określony w art. 31e ust. 9 przepis  o udostępnianiu analiz jest </w:t>
            </w:r>
            <w:r w:rsidRPr="001941B0">
              <w:rPr>
                <w:iCs/>
                <w:sz w:val="20"/>
                <w:szCs w:val="20"/>
              </w:rPr>
              <w:lastRenderedPageBreak/>
              <w:t xml:space="preserve">niewystarczający operacyjnie. Metodologia HTA oraz procesy taryfikacyjne wymagają budowania własnych modeli na surowych danych (RAW), aby wykrywać anomalie i trendy niewidoczne na poziomie zagregowanych raportów. Agencja musi posiadać autonomię w doborze metod statystycznych, co jest niemożliwe przy pracy wyłącznie na wynikach przetworzonych przez podmiot zewnętrzny (CeZ). Konieczność przetwarzania danych w infrastrukturze Agencji wynika z potrzeby łączenia ich z unikalnymi zbiorami danych kosztowych, których administratorem jest Prezes Agencji a które nie znajdują się w Hurtowni Danych e-Zdrowia. Całkowita utrata suwerenności analitycznej. Jeśli Agencja otrzyma tylko wynik analizy (np. średni koszt leczenia), nie będzie w stanie zweryfikować jego poprawności ani przeprowadzić symulacji „co-jeśli” (np. wpływu zmiany wyceny na budżet).  </w:t>
            </w:r>
          </w:p>
          <w:p w14:paraId="314D70CD" w14:textId="4F561E30" w:rsidR="00306E53" w:rsidRPr="001941B0" w:rsidRDefault="00306E53" w:rsidP="006E0CB2">
            <w:pPr>
              <w:autoSpaceDE w:val="0"/>
              <w:autoSpaceDN w:val="0"/>
              <w:adjustRightInd w:val="0"/>
              <w:spacing w:after="0" w:line="240" w:lineRule="auto"/>
              <w:rPr>
                <w:b/>
                <w:bCs/>
                <w:iCs/>
                <w:sz w:val="20"/>
                <w:szCs w:val="20"/>
                <w:u w:val="single"/>
              </w:rPr>
            </w:pPr>
            <w:r w:rsidRPr="001941B0">
              <w:rPr>
                <w:iCs/>
                <w:sz w:val="20"/>
                <w:szCs w:val="20"/>
              </w:rPr>
              <w:t xml:space="preserve">Agencja realizuje szereg zadań ustawowych, w dużej mierze związanych z koniecznością prowadzenia analiz systemowych bądź kosztowych, posiada uprawnienia do przetwarzania danych wskazanych w art. 31lc ustawy o świadczeniach. Biorąc pod uwagę zakres oraz różnorodność prowadzonych analiz (przykładowo, w przypadku prac taryfikacyjnych analiza danych sięga danych o pojedynczych świadczeniobiorcach), niezbędne jest zapewnienie Agencji dostępu do danych źródłowych gromadzonych w Hurtowni Danych e-Zdrowia, a nie jedynie do analiz, czyli danych już przetworzonych. </w:t>
            </w:r>
          </w:p>
        </w:tc>
        <w:tc>
          <w:tcPr>
            <w:tcW w:w="2855" w:type="dxa"/>
            <w:shd w:val="clear" w:color="auto" w:fill="FFFFFF" w:themeFill="background1"/>
          </w:tcPr>
          <w:p w14:paraId="30F194E0" w14:textId="77777777" w:rsidR="00714211" w:rsidRPr="001941B0" w:rsidRDefault="00714211" w:rsidP="00714211">
            <w:pPr>
              <w:autoSpaceDE w:val="0"/>
              <w:autoSpaceDN w:val="0"/>
              <w:adjustRightInd w:val="0"/>
              <w:spacing w:after="0" w:line="240" w:lineRule="auto"/>
              <w:rPr>
                <w:b/>
                <w:sz w:val="20"/>
                <w:szCs w:val="20"/>
              </w:rPr>
            </w:pPr>
            <w:r w:rsidRPr="001941B0">
              <w:rPr>
                <w:b/>
                <w:sz w:val="20"/>
                <w:szCs w:val="20"/>
              </w:rPr>
              <w:lastRenderedPageBreak/>
              <w:t>Uwaga nieuwzględniona</w:t>
            </w:r>
          </w:p>
          <w:p w14:paraId="02ED2432" w14:textId="64A61AFE" w:rsidR="00306E53" w:rsidRPr="001941B0" w:rsidRDefault="00714211" w:rsidP="00714211">
            <w:pPr>
              <w:autoSpaceDE w:val="0"/>
              <w:autoSpaceDN w:val="0"/>
              <w:adjustRightInd w:val="0"/>
              <w:spacing w:after="0" w:line="240" w:lineRule="auto"/>
              <w:rPr>
                <w:sz w:val="20"/>
                <w:szCs w:val="20"/>
              </w:rPr>
            </w:pPr>
            <w:r w:rsidRPr="001941B0">
              <w:rPr>
                <w:sz w:val="20"/>
                <w:szCs w:val="20"/>
              </w:rPr>
              <w:t xml:space="preserve">Uwaga wymaga dostosowania do systemu AOTMiT i przetwarzania danych przez AOTMiT, co </w:t>
            </w:r>
            <w:r w:rsidR="009E002E" w:rsidRPr="001941B0">
              <w:rPr>
                <w:sz w:val="20"/>
                <w:szCs w:val="20"/>
              </w:rPr>
              <w:t>byłoby</w:t>
            </w:r>
            <w:r w:rsidRPr="001941B0">
              <w:rPr>
                <w:sz w:val="20"/>
                <w:szCs w:val="20"/>
              </w:rPr>
              <w:t xml:space="preserve"> regulacją nadmiarową, gdyż hurtownia ma służyć różnym podmiotom publicznym.</w:t>
            </w:r>
          </w:p>
        </w:tc>
      </w:tr>
      <w:tr w:rsidR="00FC7212" w:rsidRPr="001941B0" w14:paraId="45007884" w14:textId="77777777" w:rsidTr="7139DBB9">
        <w:tc>
          <w:tcPr>
            <w:tcW w:w="1125" w:type="dxa"/>
            <w:shd w:val="clear" w:color="auto" w:fill="FFFFFF" w:themeFill="background1"/>
          </w:tcPr>
          <w:p w14:paraId="7787044B"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1BC9BDF" w14:textId="352B292F"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Fundacja Zdrowie i Edukacja Ad Meritum</w:t>
            </w:r>
          </w:p>
        </w:tc>
        <w:tc>
          <w:tcPr>
            <w:tcW w:w="1949" w:type="dxa"/>
            <w:shd w:val="clear" w:color="auto" w:fill="FFFFFF" w:themeFill="background1"/>
          </w:tcPr>
          <w:p w14:paraId="4EEE2F28" w14:textId="77777777" w:rsidR="00E235D8"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17)</w:t>
            </w:r>
          </w:p>
          <w:p w14:paraId="0BB47FC6" w14:textId="30BB299F"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6968687" w14:textId="189225DF" w:rsidR="00306E53" w:rsidRPr="001941B0" w:rsidRDefault="00306E53" w:rsidP="006E0CB2">
            <w:pPr>
              <w:autoSpaceDE w:val="0"/>
              <w:autoSpaceDN w:val="0"/>
              <w:adjustRightInd w:val="0"/>
              <w:spacing w:after="0" w:line="240" w:lineRule="auto"/>
              <w:rPr>
                <w:rFonts w:cs="Calibri"/>
                <w:sz w:val="20"/>
                <w:szCs w:val="20"/>
              </w:rPr>
            </w:pPr>
            <w:r w:rsidRPr="001941B0">
              <w:rPr>
                <w:bCs/>
                <w:iCs/>
                <w:sz w:val="20"/>
                <w:szCs w:val="20"/>
              </w:rPr>
              <w:t>Dostęp do certyfikowanych narzędzi na Platformie Usług Inteligentnych mógłby również zawierać takie narzędzia jak i-Wound (być może jest ich więcej) – wspomagających ocenę ran pooperacyjnych, ran związanych z chorobami przewlekłymi, oceniających proces gojenia ran, na podstawie tej oceny możliwe byłoby wydanie pacjentowi zaleceń w drodze teleporady lub w sytuacjach tego wymagających wezwanie na wizytę osobistą, to znacząco odciążyłoby stacjonarne poradnie chirurgiczne, a pacjentom ułatwiłoby funkcjonowanie i zaoszczędziło trudów i kosztów podróży.</w:t>
            </w:r>
          </w:p>
        </w:tc>
        <w:tc>
          <w:tcPr>
            <w:tcW w:w="2855" w:type="dxa"/>
            <w:shd w:val="clear" w:color="auto" w:fill="FFFFFF" w:themeFill="background1"/>
          </w:tcPr>
          <w:p w14:paraId="39C3A212" w14:textId="5366754A" w:rsidR="00306E53" w:rsidRPr="001941B0" w:rsidRDefault="00306E53" w:rsidP="006E0CB2">
            <w:pPr>
              <w:autoSpaceDE w:val="0"/>
              <w:autoSpaceDN w:val="0"/>
              <w:adjustRightInd w:val="0"/>
              <w:spacing w:after="0" w:line="240" w:lineRule="auto"/>
              <w:rPr>
                <w:rFonts w:cstheme="minorHAnsi"/>
                <w:b/>
                <w:sz w:val="20"/>
                <w:szCs w:val="20"/>
              </w:rPr>
            </w:pPr>
            <w:r w:rsidRPr="001941B0">
              <w:rPr>
                <w:b/>
                <w:sz w:val="20"/>
                <w:szCs w:val="20"/>
              </w:rPr>
              <w:t>Uwaga nieuwzględniona</w:t>
            </w:r>
          </w:p>
          <w:p w14:paraId="77B3BA56" w14:textId="3DE11558" w:rsidR="00306E53" w:rsidRPr="001941B0" w:rsidRDefault="00306E53" w:rsidP="006E0CB2">
            <w:pPr>
              <w:spacing w:after="0" w:line="240" w:lineRule="auto"/>
              <w:rPr>
                <w:sz w:val="20"/>
                <w:szCs w:val="20"/>
              </w:rPr>
            </w:pPr>
            <w:r w:rsidRPr="001941B0">
              <w:rPr>
                <w:sz w:val="20"/>
                <w:szCs w:val="20"/>
              </w:rPr>
              <w:t xml:space="preserve">Zakres merytoryczny wyrobów medycznych dostępnych w ramach PUI poza zakresem projektowanej regulacji. </w:t>
            </w:r>
          </w:p>
        </w:tc>
      </w:tr>
      <w:tr w:rsidR="00FC7212" w:rsidRPr="001941B0" w14:paraId="5AD7E6B6" w14:textId="77777777" w:rsidTr="7139DBB9">
        <w:tc>
          <w:tcPr>
            <w:tcW w:w="1125" w:type="dxa"/>
            <w:shd w:val="clear" w:color="auto" w:fill="FFFFFF" w:themeFill="background1"/>
          </w:tcPr>
          <w:p w14:paraId="3E1C42C9"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D3AE2E6" w14:textId="6E19369B"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22D5D17B" w14:textId="77777777" w:rsidR="00E313C8"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Artykuł 5 pkt 17)</w:t>
            </w:r>
          </w:p>
          <w:p w14:paraId="371F6F24" w14:textId="14F79EBE"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5DD11DD4"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Brak minimalnych wymogów klinicznych i odpowiedzialności przy korzystaniu z analiz/AI w diagnostyce – szczególnie dla kardiologii (wysokie ryzyko stanów nagłych, duża wrażliwość na fałszywie ujemne/ dodatnie wyniki).</w:t>
            </w:r>
          </w:p>
          <w:p w14:paraId="3A72313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49D71E10"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Narzędzia oparte o algorytmy mogą wspierać, ale nie mogą „zastępować” decyzji klinicznej ani kluczowych zaleceń KSK. Ryzyko: nadmierna wiara w wynik algorytmu, opóźnienie kierowania do OK II/III, nieprawidłowa kwalifikacja.</w:t>
            </w:r>
          </w:p>
          <w:p w14:paraId="5CA93B28"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634F443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Dodać w OSR/uzasadnieniu minimalne wymagania:</w:t>
            </w:r>
          </w:p>
          <w:p w14:paraId="72F91E9D" w14:textId="77777777" w:rsidR="00306E53" w:rsidRPr="001941B0" w:rsidRDefault="00306E53" w:rsidP="006E0CB2">
            <w:pPr>
              <w:numPr>
                <w:ilvl w:val="0"/>
                <w:numId w:val="5"/>
              </w:numPr>
              <w:autoSpaceDE w:val="0"/>
              <w:autoSpaceDN w:val="0"/>
              <w:adjustRightInd w:val="0"/>
              <w:spacing w:after="0" w:line="240" w:lineRule="auto"/>
              <w:rPr>
                <w:rFonts w:cs="Calibri"/>
                <w:bCs/>
                <w:iCs/>
                <w:sz w:val="20"/>
                <w:szCs w:val="20"/>
              </w:rPr>
            </w:pPr>
            <w:r w:rsidRPr="001941B0">
              <w:rPr>
                <w:rFonts w:cs="Calibri"/>
                <w:bCs/>
                <w:iCs/>
                <w:sz w:val="20"/>
                <w:szCs w:val="20"/>
              </w:rPr>
              <w:t xml:space="preserve">widoczny komunikat kliniczny ze sformułowanym zastrzeżeniem dotyczącym w/w problemu (clinical disclaimer);  </w:t>
            </w:r>
          </w:p>
          <w:p w14:paraId="5A185A0E" w14:textId="77777777" w:rsidR="00306E53" w:rsidRPr="001941B0" w:rsidRDefault="00306E53" w:rsidP="006E0CB2">
            <w:pPr>
              <w:numPr>
                <w:ilvl w:val="0"/>
                <w:numId w:val="5"/>
              </w:numPr>
              <w:autoSpaceDE w:val="0"/>
              <w:autoSpaceDN w:val="0"/>
              <w:adjustRightInd w:val="0"/>
              <w:spacing w:after="0" w:line="240" w:lineRule="auto"/>
              <w:rPr>
                <w:rFonts w:cs="Calibri"/>
                <w:bCs/>
                <w:iCs/>
                <w:sz w:val="20"/>
                <w:szCs w:val="20"/>
              </w:rPr>
            </w:pPr>
            <w:r w:rsidRPr="001941B0">
              <w:rPr>
                <w:rFonts w:cs="Calibri"/>
                <w:bCs/>
                <w:iCs/>
                <w:sz w:val="20"/>
                <w:szCs w:val="20"/>
              </w:rPr>
              <w:t xml:space="preserve">obowiązek wskazania danych wejściowych/ograniczeń; </w:t>
            </w:r>
          </w:p>
          <w:p w14:paraId="7343B003" w14:textId="77777777" w:rsidR="00306E53" w:rsidRPr="001941B0" w:rsidRDefault="00306E53" w:rsidP="006E0CB2">
            <w:pPr>
              <w:numPr>
                <w:ilvl w:val="0"/>
                <w:numId w:val="5"/>
              </w:numPr>
              <w:autoSpaceDE w:val="0"/>
              <w:autoSpaceDN w:val="0"/>
              <w:adjustRightInd w:val="0"/>
              <w:spacing w:after="0" w:line="240" w:lineRule="auto"/>
              <w:rPr>
                <w:rFonts w:cs="Calibri"/>
                <w:bCs/>
                <w:iCs/>
                <w:sz w:val="20"/>
                <w:szCs w:val="20"/>
              </w:rPr>
            </w:pPr>
            <w:r w:rsidRPr="001941B0">
              <w:rPr>
                <w:rFonts w:cs="Calibri"/>
                <w:bCs/>
                <w:iCs/>
                <w:sz w:val="20"/>
                <w:szCs w:val="20"/>
              </w:rPr>
              <w:t xml:space="preserve">mechanizm raportowania zdarzeń niepożądanych/odchyleń; </w:t>
            </w:r>
          </w:p>
          <w:p w14:paraId="4BF78CE6" w14:textId="06C456A2"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zgodność z kluczowymi zaleceniami KSK (rozporządzenie dot. zaleceń).</w:t>
            </w:r>
          </w:p>
        </w:tc>
        <w:tc>
          <w:tcPr>
            <w:tcW w:w="2855" w:type="dxa"/>
            <w:shd w:val="clear" w:color="auto" w:fill="FFFFFF" w:themeFill="background1"/>
          </w:tcPr>
          <w:p w14:paraId="42CAC056" w14:textId="1CAE6AC2" w:rsidR="00306E53" w:rsidRPr="001941B0" w:rsidRDefault="00306E53" w:rsidP="006E0CB2">
            <w:pPr>
              <w:autoSpaceDE w:val="0"/>
              <w:autoSpaceDN w:val="0"/>
              <w:adjustRightInd w:val="0"/>
              <w:spacing w:after="0" w:line="240" w:lineRule="auto"/>
              <w:rPr>
                <w:b/>
                <w:sz w:val="20"/>
                <w:szCs w:val="20"/>
              </w:rPr>
            </w:pPr>
            <w:r w:rsidRPr="001941B0">
              <w:rPr>
                <w:b/>
                <w:sz w:val="20"/>
                <w:szCs w:val="20"/>
              </w:rPr>
              <w:t>Uwaga nieuwzględniona</w:t>
            </w:r>
          </w:p>
          <w:p w14:paraId="72E51EB4" w14:textId="7A48CC2D" w:rsidR="00306E53" w:rsidRPr="001941B0" w:rsidRDefault="00306E53" w:rsidP="006E0CB2">
            <w:pPr>
              <w:spacing w:after="0" w:line="240" w:lineRule="auto"/>
              <w:rPr>
                <w:sz w:val="20"/>
                <w:szCs w:val="20"/>
              </w:rPr>
            </w:pPr>
            <w:r w:rsidRPr="001941B0">
              <w:rPr>
                <w:sz w:val="20"/>
                <w:szCs w:val="20"/>
              </w:rPr>
              <w:t>Zakres merytoryczny wyrobów medycznych dostępnych w ramach PUI poza zakresem projektowanej regulacji.</w:t>
            </w:r>
          </w:p>
        </w:tc>
      </w:tr>
      <w:tr w:rsidR="00FC7212" w:rsidRPr="001941B0" w14:paraId="47F04092" w14:textId="77777777" w:rsidTr="7139DBB9">
        <w:tc>
          <w:tcPr>
            <w:tcW w:w="1125" w:type="dxa"/>
            <w:shd w:val="clear" w:color="auto" w:fill="FFFFFF" w:themeFill="background1"/>
          </w:tcPr>
          <w:p w14:paraId="32EB81C6"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FDE5E80" w14:textId="3C4DF622"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Ogólnopolska Izba Gospodarcza Wyrobów Medycznych POLMED</w:t>
            </w:r>
          </w:p>
        </w:tc>
        <w:tc>
          <w:tcPr>
            <w:tcW w:w="1949" w:type="dxa"/>
            <w:shd w:val="clear" w:color="auto" w:fill="FFFFFF" w:themeFill="background1"/>
          </w:tcPr>
          <w:p w14:paraId="60DC189C" w14:textId="3B404AD5"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Artykuł 5 pkt 17)</w:t>
            </w:r>
          </w:p>
        </w:tc>
        <w:tc>
          <w:tcPr>
            <w:tcW w:w="5652" w:type="dxa"/>
            <w:shd w:val="clear" w:color="auto" w:fill="FFFFFF" w:themeFill="background1"/>
          </w:tcPr>
          <w:p w14:paraId="0CE0536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Brak jednoznacznych i racjonalnych wytycznych lub rekomendacji dla lekarzy i innych osób wykonujących zawody medyczne zw. z racjonalnym, bezpiecznym wykorzystywaniem narzędzi AI oraz odpowiedzialnością w tym zakresie</w:t>
            </w:r>
          </w:p>
          <w:p w14:paraId="14EC213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41C2CE1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W projekcie ustawy jest mowa o wykorzystaniu certyfikowanych narzędzi opartych na AI w procesie diagnostycznym celem szybszego i bardziej precyzyjnego analizowania obrazów diagnostycznych, a co za tym idzie podejmowanie szybszych interwencji medycznych. </w:t>
            </w:r>
          </w:p>
          <w:p w14:paraId="6969080B"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Brak oficjalnych wytycznych lub rekomendacji dla lekarzy związanych z wykorzystaniem narzędzi opartych na ML oraz systemów AI może jednak spowodować niechęć lekarzy i innych osób wykonujących zawody medyczne do takich rozwiązań – co zaś może spowodować ograniczone wykorzystywanie AI w praktyce klinicznej.  </w:t>
            </w:r>
          </w:p>
          <w:p w14:paraId="7D6676F8"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lastRenderedPageBreak/>
              <w:t>Aby ograniczyć takie ryzyko, wdrożeniu wymienionych rozwiązań powinno towarzyszyć opublikowanie oficjalnych wytycznych, które ustalą racjonalne zasady bezpiecznego używania systemów AI przez lekarzy, a także ustalą racjonalne ramy odpowiedzialności takiego przechowywania.</w:t>
            </w:r>
          </w:p>
          <w:p w14:paraId="5EEEF44A"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76A8F6C7" w14:textId="101E9FD1"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Uzupełnienie przepisów o oficjalne  rekomendacje i minimalne wymogi dot. racjonalnych zasad wykorzystywania narzędzi AI w sposób bezpieczny i odpowiedzialny, a zarazem odpowiedzialności związanej z takim wykorzystywaniem – tak, aby ułatwić lekarzom ocenę ryzyka i ustalenie zasad odpowiedzialności zw. z  korzystania z AI w praktyce klinicznej</w:t>
            </w:r>
          </w:p>
        </w:tc>
        <w:tc>
          <w:tcPr>
            <w:tcW w:w="2855" w:type="dxa"/>
            <w:shd w:val="clear" w:color="auto" w:fill="FFFFFF" w:themeFill="background1"/>
          </w:tcPr>
          <w:p w14:paraId="36B1A4F8" w14:textId="6A4243E7" w:rsidR="00306E53" w:rsidRPr="001941B0" w:rsidRDefault="00306E53"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041E8571" w14:textId="77777777" w:rsidR="00306E53" w:rsidRPr="001941B0" w:rsidRDefault="00306E53" w:rsidP="006E0CB2">
            <w:pPr>
              <w:spacing w:after="0" w:line="240" w:lineRule="auto"/>
              <w:rPr>
                <w:sz w:val="20"/>
                <w:szCs w:val="20"/>
              </w:rPr>
            </w:pPr>
            <w:r w:rsidRPr="001941B0">
              <w:rPr>
                <w:sz w:val="20"/>
                <w:szCs w:val="20"/>
              </w:rPr>
              <w:t>Poza zakresem projektowanej regulacji.</w:t>
            </w:r>
          </w:p>
          <w:p w14:paraId="4B1035E4" w14:textId="787AA9A8" w:rsidR="00306E53" w:rsidRPr="001941B0" w:rsidRDefault="00683EF4" w:rsidP="0044265C">
            <w:pPr>
              <w:autoSpaceDE w:val="0"/>
              <w:autoSpaceDN w:val="0"/>
              <w:adjustRightInd w:val="0"/>
              <w:spacing w:after="0" w:line="240" w:lineRule="auto"/>
              <w:rPr>
                <w:sz w:val="20"/>
                <w:szCs w:val="20"/>
              </w:rPr>
            </w:pPr>
            <w:r w:rsidRPr="001941B0">
              <w:rPr>
                <w:rFonts w:cstheme="minorHAnsi"/>
                <w:sz w:val="20"/>
                <w:szCs w:val="20"/>
              </w:rPr>
              <w:t>Zgodnie z zewnętrzną opinią prawną przygotowaną na zlecenie CeZ w sierpniu 2025 r</w:t>
            </w:r>
            <w:r w:rsidR="00995D23" w:rsidRPr="001941B0">
              <w:rPr>
                <w:rFonts w:cstheme="minorHAnsi"/>
                <w:sz w:val="20"/>
                <w:szCs w:val="20"/>
              </w:rPr>
              <w:t>obowiązek</w:t>
            </w:r>
            <w:r w:rsidRPr="001941B0">
              <w:rPr>
                <w:rFonts w:cstheme="minorHAnsi"/>
                <w:sz w:val="20"/>
                <w:szCs w:val="20"/>
              </w:rPr>
              <w:t xml:space="preserve"> informowania pacjentów o stosowanych metodach leczenia (albo uzyskania określonej zgody pacjenta) spoczywa na lekarzach realizujących świadczenia zdrowotne i jest poza sferą odpowiedzialności CEZ jako dostawcy PUI. </w:t>
            </w:r>
          </w:p>
        </w:tc>
      </w:tr>
      <w:tr w:rsidR="00FC7212" w:rsidRPr="001941B0" w14:paraId="6F0F1984" w14:textId="77777777" w:rsidTr="7139DBB9">
        <w:tc>
          <w:tcPr>
            <w:tcW w:w="1125" w:type="dxa"/>
            <w:shd w:val="clear" w:color="auto" w:fill="FFFFFF" w:themeFill="background1"/>
          </w:tcPr>
          <w:p w14:paraId="7AABCEE9"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C2DB802" w14:textId="598E9F0C"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Ogólnopolska Izba Gospodarcza Wyrobów Medycznych POLMED</w:t>
            </w:r>
          </w:p>
        </w:tc>
        <w:tc>
          <w:tcPr>
            <w:tcW w:w="1949" w:type="dxa"/>
            <w:shd w:val="clear" w:color="auto" w:fill="FFFFFF" w:themeFill="background1"/>
          </w:tcPr>
          <w:p w14:paraId="5CF1F691" w14:textId="77777777" w:rsidR="007A2B95"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Artykuł 5 pkt 17)</w:t>
            </w:r>
          </w:p>
          <w:p w14:paraId="3E888BE7" w14:textId="77777777" w:rsidR="00CF604F" w:rsidRPr="001941B0" w:rsidRDefault="00CF604F" w:rsidP="006E0CB2">
            <w:pPr>
              <w:autoSpaceDE w:val="0"/>
              <w:autoSpaceDN w:val="0"/>
              <w:adjustRightInd w:val="0"/>
              <w:spacing w:after="0" w:line="240" w:lineRule="auto"/>
              <w:rPr>
                <w:rFonts w:cs="Calibri"/>
                <w:bCs/>
                <w:iCs/>
                <w:sz w:val="20"/>
                <w:szCs w:val="20"/>
              </w:rPr>
            </w:pPr>
          </w:p>
          <w:p w14:paraId="70F8E5D6" w14:textId="7815CFA3" w:rsidR="00306E53" w:rsidRPr="001941B0" w:rsidRDefault="00306E53" w:rsidP="006E0CB2">
            <w:pPr>
              <w:autoSpaceDE w:val="0"/>
              <w:autoSpaceDN w:val="0"/>
              <w:adjustRightInd w:val="0"/>
              <w:spacing w:after="0" w:line="240" w:lineRule="auto"/>
              <w:rPr>
                <w:rFonts w:cs="Calibri"/>
                <w:bCs/>
                <w:iCs/>
                <w:sz w:val="20"/>
                <w:szCs w:val="20"/>
              </w:rPr>
            </w:pPr>
          </w:p>
        </w:tc>
        <w:tc>
          <w:tcPr>
            <w:tcW w:w="5652" w:type="dxa"/>
            <w:shd w:val="clear" w:color="auto" w:fill="FFFFFF" w:themeFill="background1"/>
          </w:tcPr>
          <w:p w14:paraId="5C42BA5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stosunku do pacjenta: brak pełnej transparentności w zakresie wtórnego wykorzystania danych medycznych oraz przepływu danych pomiędzy systemami oraz brak wyjaśnienia mechanizmów pseudonimizacji</w:t>
            </w:r>
          </w:p>
          <w:p w14:paraId="06F3DD2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5477B51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Z perspektywy pacjentów sposób gromadzenia, przetwarzania i analizowania danych są bardzo trudne do zrozumienia. Obecnie informacje są rozproszone pomiędzy różnymi przepisami. Niezależnie od faktu, iż projektowane rozwiązania są budowane zgodnie z przepisami dot. ochrony danych osobowych itd., to dla pacjenta brak czytelnego mechanizmu informacyjnego może budzić obawy i obniżyć poziom zaufania do systemów e-zdrowia. W kontekście EHDS zasadne byłoby zapewnienie systemów, które nie tylko są formalnie zgodne z wymogami EHDS ale również projektowane w sposób zapewniający pacjentom przejrzystość i zrozumiałość w zakresie zasad agregacji i przetwarzania ich danych. Wzmocnienie mechanizmów informacyjnych funkcjonujących w ramach IKP, przy istotnym rozszerzeniu zakresu agregowania i analizowania danych, wydaje się konieczne. Klauzule informacyjne powinny uwzględniać również przejrzyste wyjaśnienia dla pacjenta w zakresie mechanizmów pseudnimizacji danych – tak, aby wzbudzać zaufanie pacjenta.</w:t>
            </w:r>
          </w:p>
          <w:p w14:paraId="0F6B6610"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17963D07" w14:textId="26372F75"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lastRenderedPageBreak/>
              <w:t>Wprowadzenie do systemu (np. do IKP) spójnych i przejrzystych klauzul informacyjnych dla pacjentów dot. zakresu przetwarzanych danych, celów ich wykorzystania oraz ról poszczególnych systemów oraz wyjaśnień zw. z pseudonimizacją</w:t>
            </w:r>
          </w:p>
        </w:tc>
        <w:tc>
          <w:tcPr>
            <w:tcW w:w="2855" w:type="dxa"/>
            <w:shd w:val="clear" w:color="auto" w:fill="FFFFFF" w:themeFill="background1"/>
          </w:tcPr>
          <w:p w14:paraId="2E246576" w14:textId="77777777" w:rsidR="00306E53" w:rsidRPr="001941B0" w:rsidRDefault="00306E53"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295743B7" w14:textId="72F30F3C" w:rsidR="00696C82" w:rsidRPr="001941B0" w:rsidRDefault="00306E53" w:rsidP="006E0CB2">
            <w:pPr>
              <w:autoSpaceDE w:val="0"/>
              <w:autoSpaceDN w:val="0"/>
              <w:adjustRightInd w:val="0"/>
              <w:spacing w:after="0" w:line="240" w:lineRule="auto"/>
              <w:rPr>
                <w:sz w:val="20"/>
                <w:szCs w:val="20"/>
              </w:rPr>
            </w:pPr>
            <w:r w:rsidRPr="001941B0">
              <w:rPr>
                <w:sz w:val="20"/>
                <w:szCs w:val="20"/>
              </w:rPr>
              <w:t xml:space="preserve">Poza zakresem projektowanej </w:t>
            </w:r>
            <w:r w:rsidR="009E002E" w:rsidRPr="001941B0">
              <w:rPr>
                <w:sz w:val="20"/>
                <w:szCs w:val="20"/>
              </w:rPr>
              <w:t>regulacji</w:t>
            </w:r>
            <w:r w:rsidRPr="001941B0">
              <w:rPr>
                <w:sz w:val="20"/>
                <w:szCs w:val="20"/>
              </w:rPr>
              <w:t>.</w:t>
            </w:r>
          </w:p>
          <w:p w14:paraId="1834068C" w14:textId="2B485859" w:rsidR="1BE117F4" w:rsidRPr="001941B0" w:rsidRDefault="1BE117F4" w:rsidP="1BE117F4">
            <w:pPr>
              <w:spacing w:after="0" w:line="240" w:lineRule="auto"/>
              <w:rPr>
                <w:sz w:val="20"/>
                <w:szCs w:val="20"/>
              </w:rPr>
            </w:pPr>
          </w:p>
          <w:p w14:paraId="79AFF9CD" w14:textId="7D297177" w:rsidR="00306E53" w:rsidRPr="001941B0" w:rsidRDefault="00995D23" w:rsidP="006E0CB2">
            <w:pPr>
              <w:autoSpaceDE w:val="0"/>
              <w:autoSpaceDN w:val="0"/>
              <w:adjustRightInd w:val="0"/>
              <w:spacing w:after="0" w:line="240" w:lineRule="auto"/>
              <w:rPr>
                <w:sz w:val="20"/>
                <w:szCs w:val="20"/>
              </w:rPr>
            </w:pPr>
            <w:r w:rsidRPr="001941B0">
              <w:rPr>
                <w:sz w:val="20"/>
                <w:szCs w:val="20"/>
              </w:rPr>
              <w:t>D</w:t>
            </w:r>
            <w:r w:rsidR="00277915" w:rsidRPr="001941B0">
              <w:rPr>
                <w:sz w:val="20"/>
                <w:szCs w:val="20"/>
              </w:rPr>
              <w:t xml:space="preserve">okonanie anonimizacji, i następnie przeniesienie danych po anonimizacji do innego repozytorium długookresowego celem wykorzystania w ramach projektów badawczo-rozwojowych i projektów realizujących ważne interesy publiczne nie wymaga w naszej ocenie zgody pacjenta na gruncie </w:t>
            </w:r>
            <w:r w:rsidRPr="001941B0">
              <w:rPr>
                <w:sz w:val="20"/>
                <w:szCs w:val="20"/>
              </w:rPr>
              <w:t>RODO.</w:t>
            </w:r>
          </w:p>
        </w:tc>
      </w:tr>
      <w:tr w:rsidR="00FC7212" w:rsidRPr="001941B0" w14:paraId="095D6F28" w14:textId="77777777" w:rsidTr="7139DBB9">
        <w:tc>
          <w:tcPr>
            <w:tcW w:w="1125" w:type="dxa"/>
            <w:shd w:val="clear" w:color="auto" w:fill="FFFFFF" w:themeFill="background1"/>
          </w:tcPr>
          <w:p w14:paraId="16FC47F4" w14:textId="77777777" w:rsidR="00306E53" w:rsidRPr="001941B0" w:rsidRDefault="00306E53"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7611123" w14:textId="1769D598"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Organizacja Pracodawców Przemysłu Medycznego TECHNOMED</w:t>
            </w:r>
          </w:p>
        </w:tc>
        <w:tc>
          <w:tcPr>
            <w:tcW w:w="1949" w:type="dxa"/>
            <w:shd w:val="clear" w:color="auto" w:fill="FFFFFF" w:themeFill="background1"/>
          </w:tcPr>
          <w:p w14:paraId="34707F94"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Artykuł 5 pkt 17)</w:t>
            </w:r>
          </w:p>
          <w:p w14:paraId="2338226A" w14:textId="77777777" w:rsidR="004A4490" w:rsidRPr="001941B0" w:rsidRDefault="004A4490" w:rsidP="006E0CB2">
            <w:pPr>
              <w:autoSpaceDE w:val="0"/>
              <w:autoSpaceDN w:val="0"/>
              <w:adjustRightInd w:val="0"/>
              <w:spacing w:after="0" w:line="240" w:lineRule="auto"/>
              <w:rPr>
                <w:rFonts w:cs="Calibri"/>
                <w:bCs/>
                <w:iCs/>
                <w:sz w:val="20"/>
                <w:szCs w:val="20"/>
              </w:rPr>
            </w:pPr>
          </w:p>
          <w:p w14:paraId="11DB6015" w14:textId="192166DC" w:rsidR="00306E53" w:rsidRPr="001941B0" w:rsidRDefault="00306E53" w:rsidP="006E0CB2">
            <w:pPr>
              <w:autoSpaceDE w:val="0"/>
              <w:autoSpaceDN w:val="0"/>
              <w:adjustRightInd w:val="0"/>
              <w:spacing w:after="0" w:line="240" w:lineRule="auto"/>
              <w:rPr>
                <w:rFonts w:cs="Calibri"/>
                <w:bCs/>
                <w:iCs/>
                <w:sz w:val="20"/>
                <w:szCs w:val="20"/>
              </w:rPr>
            </w:pPr>
          </w:p>
        </w:tc>
        <w:tc>
          <w:tcPr>
            <w:tcW w:w="5652" w:type="dxa"/>
            <w:shd w:val="clear" w:color="auto" w:fill="FFFFFF" w:themeFill="background1"/>
          </w:tcPr>
          <w:p w14:paraId="4DCF8F14" w14:textId="77777777" w:rsidR="00306E53" w:rsidRPr="001941B0" w:rsidRDefault="00306E53" w:rsidP="006E0CB2">
            <w:pPr>
              <w:autoSpaceDE w:val="0"/>
              <w:autoSpaceDN w:val="0"/>
              <w:adjustRightInd w:val="0"/>
              <w:spacing w:after="0" w:line="240" w:lineRule="auto"/>
              <w:rPr>
                <w:rFonts w:cs="Calibri"/>
                <w:bCs/>
                <w:i/>
                <w:iCs/>
                <w:sz w:val="20"/>
                <w:szCs w:val="20"/>
              </w:rPr>
            </w:pPr>
            <w:r w:rsidRPr="001941B0">
              <w:rPr>
                <w:rFonts w:cs="Calibri"/>
                <w:bCs/>
                <w:iCs/>
                <w:sz w:val="20"/>
                <w:szCs w:val="20"/>
              </w:rPr>
              <w:t>Proponuje się nadanie, projektowanemu art. 31d ust. 3 ustawy o systemie informacji w ochronie zdrowia, następującego brzmienia (dodany fragment jest pogrubioną czcionką): „</w:t>
            </w:r>
            <w:r w:rsidRPr="001941B0">
              <w:rPr>
                <w:rFonts w:cs="Calibri"/>
                <w:bCs/>
                <w:i/>
                <w:iCs/>
                <w:sz w:val="20"/>
                <w:szCs w:val="20"/>
              </w:rPr>
              <w:t xml:space="preserve">3. Dane, o których mowa w ust. 2, są przekazywane do Platformy Usług </w:t>
            </w:r>
          </w:p>
          <w:p w14:paraId="2EB0C536" w14:textId="75BCC50A" w:rsidR="00306E53" w:rsidRPr="001941B0" w:rsidRDefault="00306E53" w:rsidP="006E0CB2">
            <w:pPr>
              <w:autoSpaceDE w:val="0"/>
              <w:autoSpaceDN w:val="0"/>
              <w:adjustRightInd w:val="0"/>
              <w:spacing w:after="0" w:line="240" w:lineRule="auto"/>
              <w:rPr>
                <w:rFonts w:cs="Calibri"/>
                <w:bCs/>
                <w:iCs/>
                <w:sz w:val="20"/>
                <w:szCs w:val="20"/>
                <w:u w:val="single"/>
              </w:rPr>
            </w:pPr>
            <w:r w:rsidRPr="001941B0">
              <w:rPr>
                <w:rFonts w:cs="Calibri"/>
                <w:bCs/>
                <w:i/>
                <w:iCs/>
                <w:sz w:val="20"/>
                <w:szCs w:val="20"/>
              </w:rPr>
              <w:t>Inteligentnych przez usługodawców w zakresie niezbędnym do przeprowadzenia analizy przez dane narzędzie wspomagające</w:t>
            </w:r>
            <w:r w:rsidRPr="001941B0">
              <w:rPr>
                <w:rFonts w:cs="Calibri"/>
                <w:b/>
                <w:bCs/>
                <w:i/>
                <w:iCs/>
                <w:sz w:val="20"/>
                <w:szCs w:val="20"/>
              </w:rPr>
              <w:t>, z</w:t>
            </w:r>
            <w:r w:rsidRPr="001941B0">
              <w:rPr>
                <w:rFonts w:cs="Calibri"/>
                <w:bCs/>
                <w:i/>
                <w:iCs/>
                <w:sz w:val="20"/>
                <w:szCs w:val="20"/>
                <w:u w:val="single"/>
              </w:rPr>
              <w:t xml:space="preserve"> </w:t>
            </w:r>
            <w:r w:rsidRPr="001941B0">
              <w:rPr>
                <w:rFonts w:cs="Calibri"/>
                <w:b/>
                <w:bCs/>
                <w:i/>
                <w:iCs/>
                <w:sz w:val="20"/>
                <w:szCs w:val="20"/>
              </w:rPr>
              <w:t>uwzględnieniem specyfiki danych określonych w ust. 2 pkt 5), a także zasad lub ograniczeń odnoszących się do ich przekazywania lub wykorzystywania, wynikających z zawartych umów lub praw osób trzecich</w:t>
            </w:r>
            <w:r w:rsidRPr="001941B0">
              <w:rPr>
                <w:rFonts w:cs="Calibri"/>
                <w:b/>
                <w:bCs/>
                <w:iCs/>
                <w:sz w:val="20"/>
                <w:szCs w:val="20"/>
              </w:rPr>
              <w:t>.”</w:t>
            </w:r>
            <w:r w:rsidRPr="001941B0">
              <w:rPr>
                <w:rFonts w:cs="Calibri"/>
                <w:bCs/>
                <w:iCs/>
                <w:sz w:val="20"/>
                <w:szCs w:val="20"/>
                <w:u w:val="single"/>
              </w:rPr>
              <w:t xml:space="preserve"> </w:t>
            </w:r>
          </w:p>
          <w:p w14:paraId="6D9FB2F9" w14:textId="33F72E25"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4060661B" w14:textId="158726C4"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Zasadne jest uwzględnienie specyfiki przekazywanych danych obrazowych lub innych danych mających wpływ na wynik diagnostyki medycznej, w tym również ograniczeń lub właściwości technologii przy wykorzystaniu których zostały dane wytworzone (mogą się bowiem technologie różnić między sobą i np. cześć z nich wymaga uwzględnienia dodatkowych uwarunkowań).  Pominięcie ww. kwestii może doprowadzić do błędów i wypaczeń w uzyskiwanych wynikach.</w:t>
            </w:r>
          </w:p>
          <w:p w14:paraId="4D39FEBD" w14:textId="56E612B3" w:rsidR="00306E53" w:rsidRPr="001941B0" w:rsidRDefault="00306E53" w:rsidP="006E0CB2">
            <w:pPr>
              <w:autoSpaceDE w:val="0"/>
              <w:autoSpaceDN w:val="0"/>
              <w:adjustRightInd w:val="0"/>
              <w:spacing w:after="0" w:line="240" w:lineRule="auto"/>
              <w:rPr>
                <w:rFonts w:cs="Calibri"/>
                <w:bCs/>
                <w:iCs/>
                <w:sz w:val="20"/>
                <w:szCs w:val="20"/>
              </w:rPr>
            </w:pPr>
          </w:p>
          <w:p w14:paraId="44EE65D6" w14:textId="6007AE9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Należy mieć na względzie, że zawarte umowy, udzielone licencje (np. na sprzęt lub oprogramowanie stosowane przez podmioty lecznicze itd.) mogą określać sposób lub zakres wykorzystania konkretnych technologii lub uzyskiwanych wyników ich zastosowania (np. wytworzonych danych), wprowadzając określone ograniczenia.  Złamanie takich ograniczeń może powodować powstanie odpowiedzialności prawnej lub umownej. Spory dot. wykorzystania danych lub naruszania praw przez narzędzia/modele sztucznej inteligencji </w:t>
            </w:r>
            <w:r w:rsidRPr="001941B0">
              <w:rPr>
                <w:rFonts w:cs="Calibri"/>
                <w:bCs/>
                <w:iCs/>
                <w:sz w:val="20"/>
                <w:szCs w:val="20"/>
              </w:rPr>
              <w:lastRenderedPageBreak/>
              <w:t xml:space="preserve">są coraz częściej podnoszone i te kwestie powinny być odpowiednio uwzględnione. </w:t>
            </w:r>
          </w:p>
          <w:p w14:paraId="0C7C71AE" w14:textId="192931CC"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2801BC7A" w14:textId="4C5072BA"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Postulowane jest doprecyzowanie wskazanego przepisu poprzez konieczność zwrócenia uwagi i uwzględniania specyfiki danych oraz ograniczeń jakie wynikają z technologii lub praw innych podmiotów lub zawieranych umów. Inaczej może powstać sytuacja, że pojawią się problemy dotyczące uczenia i rozwoju „narzędzi wspomagających” w oparciu o błędne dane lub takie dane, których wykorzystanie będzie naruszało czyjeś prawa. Wskazana uwaga ma na celu zwiększenie bezpieczeństwa prawnego oraz stabilności funkcjonowania PUI, z zapewnieniem poszanowania praw osób trzecich.</w:t>
            </w:r>
          </w:p>
        </w:tc>
        <w:tc>
          <w:tcPr>
            <w:tcW w:w="2855" w:type="dxa"/>
            <w:shd w:val="clear" w:color="auto" w:fill="FFFFFF" w:themeFill="background1"/>
          </w:tcPr>
          <w:p w14:paraId="39F11396" w14:textId="77777777" w:rsidR="00306E53" w:rsidRPr="001941B0" w:rsidRDefault="00F754D1"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65A86CA9" w14:textId="4779F477" w:rsidR="00306E53" w:rsidRPr="001941B0" w:rsidRDefault="00B41AFA" w:rsidP="006E0CB2">
            <w:pPr>
              <w:autoSpaceDE w:val="0"/>
              <w:autoSpaceDN w:val="0"/>
              <w:adjustRightInd w:val="0"/>
              <w:spacing w:after="0" w:line="240" w:lineRule="auto"/>
              <w:rPr>
                <w:sz w:val="20"/>
                <w:szCs w:val="20"/>
              </w:rPr>
            </w:pPr>
            <w:r w:rsidRPr="001941B0">
              <w:rPr>
                <w:sz w:val="20"/>
                <w:szCs w:val="20"/>
              </w:rPr>
              <w:t>Zaproponowan</w:t>
            </w:r>
            <w:r w:rsidR="00D1605B" w:rsidRPr="001941B0">
              <w:rPr>
                <w:sz w:val="20"/>
                <w:szCs w:val="20"/>
              </w:rPr>
              <w:t>e</w:t>
            </w:r>
            <w:r w:rsidR="004A2F6C" w:rsidRPr="001941B0">
              <w:rPr>
                <w:sz w:val="20"/>
                <w:szCs w:val="20"/>
              </w:rPr>
              <w:t xml:space="preserve"> brzmienie przepis</w:t>
            </w:r>
            <w:r w:rsidR="00D52A1A" w:rsidRPr="001941B0">
              <w:rPr>
                <w:sz w:val="20"/>
                <w:szCs w:val="20"/>
              </w:rPr>
              <w:t>u</w:t>
            </w:r>
            <w:r w:rsidR="004A2F6C" w:rsidRPr="001941B0">
              <w:rPr>
                <w:sz w:val="20"/>
                <w:szCs w:val="20"/>
              </w:rPr>
              <w:t xml:space="preserve"> może prowadzić do ograniczeń stosowania </w:t>
            </w:r>
            <w:r w:rsidRPr="001941B0">
              <w:rPr>
                <w:sz w:val="20"/>
                <w:szCs w:val="20"/>
              </w:rPr>
              <w:t>algorytmów</w:t>
            </w:r>
            <w:r w:rsidR="004A2F6C" w:rsidRPr="001941B0">
              <w:rPr>
                <w:sz w:val="20"/>
                <w:szCs w:val="20"/>
              </w:rPr>
              <w:t xml:space="preserve"> AI oraz braku możliwości </w:t>
            </w:r>
            <w:r w:rsidR="006D725C" w:rsidRPr="001941B0">
              <w:rPr>
                <w:sz w:val="20"/>
                <w:szCs w:val="20"/>
              </w:rPr>
              <w:t xml:space="preserve">osiągnięcia </w:t>
            </w:r>
            <w:r w:rsidR="004A2F6C" w:rsidRPr="001941B0">
              <w:rPr>
                <w:sz w:val="20"/>
                <w:szCs w:val="20"/>
              </w:rPr>
              <w:t>celu diagnostycznego</w:t>
            </w:r>
            <w:r w:rsidR="00604BFE" w:rsidRPr="001941B0">
              <w:rPr>
                <w:sz w:val="20"/>
                <w:szCs w:val="20"/>
              </w:rPr>
              <w:t>. St</w:t>
            </w:r>
            <w:r w:rsidR="00D52A1A" w:rsidRPr="001941B0">
              <w:rPr>
                <w:sz w:val="20"/>
                <w:szCs w:val="20"/>
              </w:rPr>
              <w:t xml:space="preserve">warza </w:t>
            </w:r>
            <w:r w:rsidR="006D725C" w:rsidRPr="001941B0">
              <w:rPr>
                <w:sz w:val="20"/>
                <w:szCs w:val="20"/>
              </w:rPr>
              <w:t xml:space="preserve">również </w:t>
            </w:r>
            <w:r w:rsidR="000E01B8" w:rsidRPr="001941B0">
              <w:rPr>
                <w:sz w:val="20"/>
                <w:szCs w:val="20"/>
              </w:rPr>
              <w:t>ryzyko brania pod uwagę</w:t>
            </w:r>
            <w:r w:rsidR="00874E97" w:rsidRPr="001941B0">
              <w:rPr>
                <w:sz w:val="20"/>
                <w:szCs w:val="20"/>
              </w:rPr>
              <w:t xml:space="preserve"> </w:t>
            </w:r>
            <w:r w:rsidR="00454CF7" w:rsidRPr="001941B0">
              <w:rPr>
                <w:sz w:val="20"/>
                <w:szCs w:val="20"/>
              </w:rPr>
              <w:t xml:space="preserve">nieokreślonych </w:t>
            </w:r>
            <w:r w:rsidR="000E01B8" w:rsidRPr="001941B0">
              <w:rPr>
                <w:sz w:val="20"/>
                <w:szCs w:val="20"/>
              </w:rPr>
              <w:t>umów</w:t>
            </w:r>
            <w:r w:rsidR="00454CF7" w:rsidRPr="001941B0">
              <w:rPr>
                <w:sz w:val="20"/>
                <w:szCs w:val="20"/>
              </w:rPr>
              <w:t xml:space="preserve">, nieokreślonych </w:t>
            </w:r>
            <w:r w:rsidR="006D725C" w:rsidRPr="001941B0">
              <w:rPr>
                <w:sz w:val="20"/>
                <w:szCs w:val="20"/>
              </w:rPr>
              <w:t>stron</w:t>
            </w:r>
            <w:r w:rsidR="00B257E4" w:rsidRPr="001941B0">
              <w:rPr>
                <w:sz w:val="20"/>
                <w:szCs w:val="20"/>
              </w:rPr>
              <w:t xml:space="preserve"> </w:t>
            </w:r>
            <w:r w:rsidR="006D725C" w:rsidRPr="001941B0">
              <w:rPr>
                <w:sz w:val="20"/>
                <w:szCs w:val="20"/>
              </w:rPr>
              <w:t xml:space="preserve">czy </w:t>
            </w:r>
            <w:r w:rsidR="00B257E4" w:rsidRPr="001941B0">
              <w:rPr>
                <w:sz w:val="20"/>
                <w:szCs w:val="20"/>
              </w:rPr>
              <w:t xml:space="preserve">zasad lub ograniczeń wynikających z zawartych </w:t>
            </w:r>
            <w:r w:rsidR="006D725C" w:rsidRPr="001941B0">
              <w:rPr>
                <w:sz w:val="20"/>
                <w:szCs w:val="20"/>
              </w:rPr>
              <w:t>umów lub</w:t>
            </w:r>
            <w:r w:rsidR="00E813C1" w:rsidRPr="001941B0">
              <w:rPr>
                <w:sz w:val="20"/>
                <w:szCs w:val="20"/>
              </w:rPr>
              <w:t xml:space="preserve"> praw osób trzecich</w:t>
            </w:r>
            <w:r w:rsidR="00C449D6" w:rsidRPr="001941B0">
              <w:rPr>
                <w:sz w:val="20"/>
                <w:szCs w:val="20"/>
              </w:rPr>
              <w:t>.</w:t>
            </w:r>
          </w:p>
        </w:tc>
      </w:tr>
      <w:tr w:rsidR="00FC7212" w:rsidRPr="001941B0" w14:paraId="4131A270" w14:textId="77777777" w:rsidTr="7139DBB9">
        <w:tc>
          <w:tcPr>
            <w:tcW w:w="1125" w:type="dxa"/>
            <w:shd w:val="clear" w:color="auto" w:fill="FFFFFF" w:themeFill="background1"/>
          </w:tcPr>
          <w:p w14:paraId="7CC22547" w14:textId="77777777" w:rsidR="00306E53" w:rsidRPr="001941B0" w:rsidRDefault="00306E53"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F1D18F8" w14:textId="3FB11FF1" w:rsidR="00306E53" w:rsidRPr="001941B0" w:rsidRDefault="00306E53" w:rsidP="006E0CB2">
            <w:pPr>
              <w:autoSpaceDE w:val="0"/>
              <w:autoSpaceDN w:val="0"/>
              <w:adjustRightInd w:val="0"/>
              <w:spacing w:after="0" w:line="240" w:lineRule="auto"/>
              <w:rPr>
                <w:rFonts w:cs="Calibri"/>
                <w:bCs/>
                <w:sz w:val="20"/>
                <w:szCs w:val="20"/>
              </w:rPr>
            </w:pPr>
            <w:r w:rsidRPr="001941B0">
              <w:rPr>
                <w:sz w:val="20"/>
                <w:szCs w:val="20"/>
              </w:rPr>
              <w:t xml:space="preserve">Organizacja Pracodawców Przemysłu Medycznego TECHNOMED </w:t>
            </w:r>
          </w:p>
        </w:tc>
        <w:tc>
          <w:tcPr>
            <w:tcW w:w="1949" w:type="dxa"/>
            <w:shd w:val="clear" w:color="auto" w:fill="FFFFFF" w:themeFill="background1"/>
          </w:tcPr>
          <w:p w14:paraId="05D608E8" w14:textId="0FD11A95"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Artykuł 5 pkt 17)</w:t>
            </w:r>
          </w:p>
          <w:p w14:paraId="5A53A574" w14:textId="1C2AE1EA"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41A7DAE2"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Proponuje się dodanie w projektowanym art. 31d ustawy o systemie informacji w ochronie zdrowia, kolejnego ust. 15 o następującej treści: „</w:t>
            </w:r>
            <w:r w:rsidRPr="001941B0">
              <w:rPr>
                <w:rFonts w:cs="Calibri"/>
                <w:b/>
                <w:bCs/>
                <w:i/>
                <w:iCs/>
                <w:sz w:val="20"/>
                <w:szCs w:val="20"/>
              </w:rPr>
              <w:t>15. Za prawidłowość przekazania, adekwatność oraz kompletność przekazywanych danych, o których mowa w ust. 2 pkt 5), odpowiedzialność ponoszą przekazujący je usługodawcy wskazani w ust. 3</w:t>
            </w:r>
            <w:r w:rsidRPr="001941B0">
              <w:rPr>
                <w:rFonts w:cs="Calibri"/>
                <w:bCs/>
                <w:iCs/>
                <w:sz w:val="20"/>
                <w:szCs w:val="20"/>
              </w:rPr>
              <w:t>”.</w:t>
            </w:r>
          </w:p>
          <w:p w14:paraId="0CF55D13"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122A61EB"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Należy dookreślić, kto odpowiada za dobór i przekazanie danych na potrzeby ich wykorzystania przez narzędzia wspomagające. Efektami takich działań podejmowanych przez usługodawców (podmioty lecznicze/świadczeniodawców) np. gdy jakieś dane zostaną uszkodzone w trakcie przekazania lub pominięte, nie mogę być bowiem obciążane osoby trzecie, w tym podmioty gospodarcze, o których mowa w art. 2 pkt 22) ustawy z dnia 7 kwietnia 2022 r. o wyrobach medycznych (np. producenci lub dystrybutorzy wyrobów medycznych). Nie powinny osoby trzecie ponosić odpowiedzialności za działania innych osób.</w:t>
            </w:r>
          </w:p>
          <w:p w14:paraId="7EFB31A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55FF384B" w14:textId="740DA1CF"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Zaproponowano rozwiązanie, aby odpowiedzialność za prawidłowość przekazania była związana z działaniami podejmowanymi w tym zakresie przez „usługodawców” </w:t>
            </w:r>
            <w:r w:rsidRPr="001941B0">
              <w:rPr>
                <w:rFonts w:cs="Calibri"/>
                <w:bCs/>
                <w:iCs/>
                <w:sz w:val="20"/>
                <w:szCs w:val="20"/>
              </w:rPr>
              <w:lastRenderedPageBreak/>
              <w:t>(podmioty lecznicze/świadczeniodawców) i aby została odpowiednio dookreślona.</w:t>
            </w:r>
          </w:p>
        </w:tc>
        <w:tc>
          <w:tcPr>
            <w:tcW w:w="2855" w:type="dxa"/>
            <w:shd w:val="clear" w:color="auto" w:fill="FFFFFF" w:themeFill="background1"/>
          </w:tcPr>
          <w:p w14:paraId="5A2152B7" w14:textId="77777777" w:rsidR="00306E53" w:rsidRPr="001941B0" w:rsidRDefault="002D5B14" w:rsidP="005A7B91">
            <w:pPr>
              <w:pStyle w:val="Akapitzlist"/>
              <w:autoSpaceDE w:val="0"/>
              <w:autoSpaceDN w:val="0"/>
              <w:adjustRightInd w:val="0"/>
              <w:spacing w:after="0" w:line="240" w:lineRule="auto"/>
              <w:ind w:left="0"/>
              <w:rPr>
                <w:rFonts w:cstheme="minorHAnsi"/>
                <w:b/>
                <w:sz w:val="20"/>
                <w:szCs w:val="20"/>
              </w:rPr>
            </w:pPr>
            <w:r w:rsidRPr="001941B0">
              <w:rPr>
                <w:rFonts w:cstheme="minorHAnsi"/>
                <w:b/>
                <w:sz w:val="20"/>
                <w:szCs w:val="20"/>
              </w:rPr>
              <w:lastRenderedPageBreak/>
              <w:t>Uwaga nieuwzględniona</w:t>
            </w:r>
          </w:p>
          <w:p w14:paraId="3B1F7754" w14:textId="08767EB4" w:rsidR="00306E53" w:rsidRPr="001941B0" w:rsidRDefault="00BF0A8F" w:rsidP="005A7B91">
            <w:pPr>
              <w:pStyle w:val="Akapitzlist"/>
              <w:autoSpaceDE w:val="0"/>
              <w:autoSpaceDN w:val="0"/>
              <w:adjustRightInd w:val="0"/>
              <w:spacing w:after="0" w:line="240" w:lineRule="auto"/>
              <w:ind w:left="0"/>
              <w:rPr>
                <w:rFonts w:cstheme="minorHAnsi"/>
                <w:bCs/>
                <w:iCs/>
                <w:sz w:val="20"/>
                <w:szCs w:val="20"/>
              </w:rPr>
            </w:pPr>
            <w:r w:rsidRPr="001941B0">
              <w:rPr>
                <w:rFonts w:cstheme="minorHAnsi"/>
                <w:bCs/>
                <w:iCs/>
                <w:sz w:val="20"/>
                <w:szCs w:val="20"/>
              </w:rPr>
              <w:t xml:space="preserve">W proponowanym projekcie ustawy jest ograniczony zakres danych do minimum </w:t>
            </w:r>
            <w:r w:rsidR="007E4BE5" w:rsidRPr="001941B0">
              <w:rPr>
                <w:rFonts w:cstheme="minorHAnsi"/>
                <w:bCs/>
                <w:iCs/>
                <w:sz w:val="20"/>
                <w:szCs w:val="20"/>
              </w:rPr>
              <w:t xml:space="preserve">niezbędnego </w:t>
            </w:r>
            <w:r w:rsidRPr="001941B0">
              <w:rPr>
                <w:rFonts w:cstheme="minorHAnsi"/>
                <w:bCs/>
                <w:iCs/>
                <w:sz w:val="20"/>
                <w:szCs w:val="20"/>
              </w:rPr>
              <w:t>do poprawnego przeprowadz</w:t>
            </w:r>
            <w:r w:rsidR="00915369" w:rsidRPr="001941B0">
              <w:rPr>
                <w:rFonts w:cstheme="minorHAnsi"/>
                <w:bCs/>
                <w:iCs/>
                <w:sz w:val="20"/>
                <w:szCs w:val="20"/>
              </w:rPr>
              <w:t>enia diagnozy.</w:t>
            </w:r>
          </w:p>
        </w:tc>
      </w:tr>
      <w:tr w:rsidR="00FC7212" w:rsidRPr="001941B0" w14:paraId="3CF21BE6" w14:textId="77777777" w:rsidTr="7139DBB9">
        <w:tc>
          <w:tcPr>
            <w:tcW w:w="1125" w:type="dxa"/>
            <w:shd w:val="clear" w:color="auto" w:fill="FFFFFF" w:themeFill="background1"/>
          </w:tcPr>
          <w:p w14:paraId="388861C1" w14:textId="77777777" w:rsidR="00306E53" w:rsidRPr="001941B0" w:rsidRDefault="00306E53" w:rsidP="00FD378B">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31AEF05" w14:textId="09233A52" w:rsidR="00306E53" w:rsidRPr="001941B0" w:rsidRDefault="00306E53" w:rsidP="006E0CB2">
            <w:pPr>
              <w:autoSpaceDE w:val="0"/>
              <w:autoSpaceDN w:val="0"/>
              <w:adjustRightInd w:val="0"/>
              <w:spacing w:after="0" w:line="240" w:lineRule="auto"/>
              <w:rPr>
                <w:rFonts w:cs="Calibri"/>
                <w:bCs/>
                <w:sz w:val="20"/>
                <w:szCs w:val="20"/>
              </w:rPr>
            </w:pPr>
            <w:r w:rsidRPr="001941B0">
              <w:rPr>
                <w:sz w:val="20"/>
                <w:szCs w:val="20"/>
              </w:rPr>
              <w:t xml:space="preserve">Organizacja Pracodawców Przemysłu Medycznego TECHNOMED </w:t>
            </w:r>
          </w:p>
        </w:tc>
        <w:tc>
          <w:tcPr>
            <w:tcW w:w="1949" w:type="dxa"/>
            <w:shd w:val="clear" w:color="auto" w:fill="FFFFFF" w:themeFill="background1"/>
          </w:tcPr>
          <w:p w14:paraId="46921CB2" w14:textId="634D38CA"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Artykuł 5 pkt 17)</w:t>
            </w:r>
          </w:p>
          <w:p w14:paraId="04396B38" w14:textId="239BDA4E" w:rsidR="00A63B52" w:rsidRPr="001941B0" w:rsidRDefault="00A63B52" w:rsidP="006E0CB2">
            <w:pPr>
              <w:autoSpaceDE w:val="0"/>
              <w:autoSpaceDN w:val="0"/>
              <w:adjustRightInd w:val="0"/>
              <w:spacing w:after="0" w:line="240" w:lineRule="auto"/>
              <w:rPr>
                <w:rFonts w:cs="Calibri"/>
                <w:bCs/>
                <w:iCs/>
                <w:sz w:val="20"/>
                <w:szCs w:val="20"/>
              </w:rPr>
            </w:pPr>
          </w:p>
          <w:p w14:paraId="1B507EB7" w14:textId="7193E6A8" w:rsidR="00306E53" w:rsidRPr="001941B0" w:rsidRDefault="00306E53" w:rsidP="006E0CB2">
            <w:pPr>
              <w:autoSpaceDE w:val="0"/>
              <w:autoSpaceDN w:val="0"/>
              <w:adjustRightInd w:val="0"/>
              <w:spacing w:after="0" w:line="240" w:lineRule="auto"/>
              <w:rPr>
                <w:rFonts w:cs="Calibri"/>
                <w:bCs/>
                <w:iCs/>
                <w:sz w:val="20"/>
                <w:szCs w:val="20"/>
              </w:rPr>
            </w:pPr>
          </w:p>
        </w:tc>
        <w:tc>
          <w:tcPr>
            <w:tcW w:w="5652" w:type="dxa"/>
            <w:shd w:val="clear" w:color="auto" w:fill="FFFFFF" w:themeFill="background1"/>
          </w:tcPr>
          <w:p w14:paraId="1602D07A" w14:textId="77777777" w:rsidR="00306E53" w:rsidRPr="001941B0" w:rsidRDefault="00306E53" w:rsidP="006E0CB2">
            <w:pPr>
              <w:autoSpaceDE w:val="0"/>
              <w:autoSpaceDN w:val="0"/>
              <w:adjustRightInd w:val="0"/>
              <w:spacing w:after="0" w:line="240" w:lineRule="auto"/>
              <w:rPr>
                <w:rFonts w:cs="Calibri"/>
                <w:b/>
                <w:bCs/>
                <w:i/>
                <w:iCs/>
                <w:sz w:val="20"/>
                <w:szCs w:val="20"/>
              </w:rPr>
            </w:pPr>
            <w:r w:rsidRPr="001941B0">
              <w:rPr>
                <w:rFonts w:cs="Calibri"/>
                <w:bCs/>
                <w:iCs/>
                <w:sz w:val="20"/>
                <w:szCs w:val="20"/>
              </w:rPr>
              <w:t>Proponuje się dodanie w projektowanym art. 31d ustawy o systemie informacji w ochronie zdrowia, kolejnego ust. 16 o następującej treści „</w:t>
            </w:r>
            <w:r w:rsidRPr="001941B0">
              <w:rPr>
                <w:rFonts w:cs="Calibri"/>
                <w:b/>
                <w:bCs/>
                <w:iCs/>
                <w:sz w:val="20"/>
                <w:szCs w:val="20"/>
              </w:rPr>
              <w:t>16.</w:t>
            </w:r>
            <w:r w:rsidRPr="001941B0">
              <w:rPr>
                <w:rFonts w:cs="Calibri"/>
                <w:bCs/>
                <w:iCs/>
                <w:sz w:val="20"/>
                <w:szCs w:val="20"/>
              </w:rPr>
              <w:t xml:space="preserve"> </w:t>
            </w:r>
            <w:r w:rsidRPr="001941B0">
              <w:rPr>
                <w:rFonts w:cs="Calibri"/>
                <w:b/>
                <w:bCs/>
                <w:i/>
                <w:iCs/>
                <w:sz w:val="20"/>
                <w:szCs w:val="20"/>
              </w:rPr>
              <w:t>Minister właściwy do spraw zdrowia określi, w drodze rozporządzenia: 1) zasady i wymagania dotyczące przekazywania danych, o których mowa w ust. 2 pkt 5) do narzędzi wspomagających;</w:t>
            </w:r>
          </w:p>
          <w:p w14:paraId="0504A44D" w14:textId="77777777" w:rsidR="00306E53" w:rsidRPr="001941B0" w:rsidRDefault="00306E53" w:rsidP="006E0CB2">
            <w:pPr>
              <w:autoSpaceDE w:val="0"/>
              <w:autoSpaceDN w:val="0"/>
              <w:adjustRightInd w:val="0"/>
              <w:spacing w:after="0" w:line="240" w:lineRule="auto"/>
              <w:rPr>
                <w:rFonts w:cs="Calibri"/>
                <w:b/>
                <w:bCs/>
                <w:i/>
                <w:iCs/>
                <w:sz w:val="20"/>
                <w:szCs w:val="20"/>
              </w:rPr>
            </w:pPr>
            <w:r w:rsidRPr="001941B0">
              <w:rPr>
                <w:rFonts w:cs="Calibri"/>
                <w:b/>
                <w:bCs/>
                <w:i/>
                <w:iCs/>
                <w:sz w:val="20"/>
                <w:szCs w:val="20"/>
              </w:rPr>
              <w:t>2) standardy lub formaty przekazywanych danych, o których mowa w ust. 2 pkt 5) do narzędzi wspomagających;</w:t>
            </w:r>
          </w:p>
          <w:p w14:paraId="1E1FD87E" w14:textId="77777777" w:rsidR="00306E53" w:rsidRPr="001941B0" w:rsidRDefault="00306E53" w:rsidP="006E0CB2">
            <w:pPr>
              <w:autoSpaceDE w:val="0"/>
              <w:autoSpaceDN w:val="0"/>
              <w:adjustRightInd w:val="0"/>
              <w:spacing w:after="0" w:line="240" w:lineRule="auto"/>
              <w:rPr>
                <w:rFonts w:cs="Calibri"/>
                <w:b/>
                <w:bCs/>
                <w:i/>
                <w:iCs/>
                <w:sz w:val="20"/>
                <w:szCs w:val="20"/>
              </w:rPr>
            </w:pPr>
            <w:r w:rsidRPr="001941B0">
              <w:rPr>
                <w:rFonts w:cs="Calibri"/>
                <w:b/>
                <w:bCs/>
                <w:i/>
                <w:iCs/>
                <w:sz w:val="20"/>
                <w:szCs w:val="20"/>
              </w:rPr>
              <w:t>3) inne wymagania techniczne lub formalne, jakie będą potrzebne dla zapewniania poszanowania praw osób trzecich, prawidłowości oraz bezpieczeństwa przekazywania danych, o których mowa w ust. 2 pkt 5) do narzędzi wspomagających.; 4) procedurę zgłoszenia i rozpatrywania sprzeciwu dotyczącego przekazywania danych, o których mowa w ust. 2 pkt 5) lub sposobu lub zakresu ich wykorzystywania przez narzędzia wspomagające”.</w:t>
            </w:r>
          </w:p>
          <w:p w14:paraId="33D0ADC6" w14:textId="1A13E6F1"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04FBBB04"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Z racji nowatorstwa proponowanego rozwiązania, jakim jest planowana Platforma Usług Inteligentnych, a także trwającego, dynamicznego rozwoju systemów i modeli sztucznej inteligencji, zasadne jest wprowadzenie rozwiązań legislacyjnych, które będą pozwalały na określenie oraz możliwie elastyczną aktualizację stosowanych standardów i wymagań, tak, aby zapewnić bezpieczeństwo i jakość proponowanych rozwiązań.</w:t>
            </w:r>
          </w:p>
          <w:p w14:paraId="48423FD3" w14:textId="77777777" w:rsidR="00306E53" w:rsidRPr="001941B0" w:rsidRDefault="00306E53" w:rsidP="006E0CB2">
            <w:pPr>
              <w:autoSpaceDE w:val="0"/>
              <w:autoSpaceDN w:val="0"/>
              <w:adjustRightInd w:val="0"/>
              <w:spacing w:after="0" w:line="240" w:lineRule="auto"/>
              <w:rPr>
                <w:rFonts w:cs="Calibri"/>
                <w:bCs/>
                <w:iCs/>
                <w:sz w:val="20"/>
                <w:szCs w:val="20"/>
              </w:rPr>
            </w:pPr>
          </w:p>
          <w:p w14:paraId="3097646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Ponadto, zasadne jest wprowadzenie mechanizmu „sprzeciwu” lub innego zbliżonego rozwiązania, które pozwoli na zgłaszanie żądania nieprzekazywania danych, wstrzymywania ich przekazywania lub żądania zmiany sposób lub zakresu ich wykorzystywania (np. w sytuacji powstania problemów związanych z bezpieczeństwem, sposobem wykorzystania lub w przypadku potencjalnego lub zaistniałego sporu prawnego itd.). </w:t>
            </w:r>
          </w:p>
          <w:p w14:paraId="500CFF58"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lastRenderedPageBreak/>
              <w:t>Propozycje rozwiązań:</w:t>
            </w:r>
          </w:p>
          <w:p w14:paraId="7A19FB88" w14:textId="01D83A51"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Zaproponowane zostało wydanie przez Ministra Zdrowia rozporządzenia, które będzie mogło wskazać na określone wymagania oraz będzie zawierało też mechanizm zgłaszania żądań przez „zewnętrzne” podmioty.</w:t>
            </w:r>
          </w:p>
        </w:tc>
        <w:tc>
          <w:tcPr>
            <w:tcW w:w="2855" w:type="dxa"/>
            <w:shd w:val="clear" w:color="auto" w:fill="FFFFFF" w:themeFill="background1"/>
          </w:tcPr>
          <w:p w14:paraId="1BC659D0" w14:textId="611D644B" w:rsidR="00306E53" w:rsidRPr="001941B0" w:rsidRDefault="006B19B3"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585826C9" w14:textId="33C6CF5F" w:rsidR="006B19B3" w:rsidRPr="001941B0" w:rsidRDefault="00F75C6F" w:rsidP="006E0CB2">
            <w:pPr>
              <w:autoSpaceDE w:val="0"/>
              <w:autoSpaceDN w:val="0"/>
              <w:adjustRightInd w:val="0"/>
              <w:spacing w:after="0" w:line="240" w:lineRule="auto"/>
              <w:rPr>
                <w:rFonts w:cstheme="minorHAnsi"/>
                <w:bCs/>
                <w:iCs/>
                <w:sz w:val="20"/>
                <w:szCs w:val="20"/>
              </w:rPr>
            </w:pPr>
            <w:r w:rsidRPr="001941B0">
              <w:rPr>
                <w:rFonts w:cstheme="minorHAnsi"/>
                <w:bCs/>
                <w:iCs/>
                <w:sz w:val="20"/>
                <w:szCs w:val="20"/>
              </w:rPr>
              <w:t>Nie jest to możliwe</w:t>
            </w:r>
            <w:r w:rsidR="00872F51" w:rsidRPr="001941B0">
              <w:rPr>
                <w:rFonts w:cstheme="minorHAnsi"/>
                <w:bCs/>
                <w:iCs/>
                <w:sz w:val="20"/>
                <w:szCs w:val="20"/>
              </w:rPr>
              <w:t xml:space="preserve">, aby w drodze </w:t>
            </w:r>
            <w:r w:rsidR="00B915B5" w:rsidRPr="001941B0">
              <w:rPr>
                <w:rFonts w:cstheme="minorHAnsi"/>
                <w:bCs/>
                <w:iCs/>
                <w:sz w:val="20"/>
                <w:szCs w:val="20"/>
              </w:rPr>
              <w:t>rozporządzenia określić jednolite warunk</w:t>
            </w:r>
            <w:r w:rsidR="00ED790E" w:rsidRPr="001941B0">
              <w:rPr>
                <w:rFonts w:cstheme="minorHAnsi"/>
                <w:bCs/>
                <w:iCs/>
                <w:sz w:val="20"/>
                <w:szCs w:val="20"/>
              </w:rPr>
              <w:t xml:space="preserve">i </w:t>
            </w:r>
            <w:r w:rsidR="00DF784E" w:rsidRPr="001941B0">
              <w:rPr>
                <w:rFonts w:cstheme="minorHAnsi"/>
                <w:bCs/>
                <w:iCs/>
                <w:sz w:val="20"/>
                <w:szCs w:val="20"/>
              </w:rPr>
              <w:t>t</w:t>
            </w:r>
            <w:r w:rsidR="00B915B5" w:rsidRPr="001941B0">
              <w:rPr>
                <w:rFonts w:cstheme="minorHAnsi"/>
                <w:bCs/>
                <w:iCs/>
                <w:sz w:val="20"/>
                <w:szCs w:val="20"/>
              </w:rPr>
              <w:t>ech</w:t>
            </w:r>
            <w:r w:rsidR="00DF784E" w:rsidRPr="001941B0">
              <w:rPr>
                <w:rFonts w:cstheme="minorHAnsi"/>
                <w:bCs/>
                <w:iCs/>
                <w:sz w:val="20"/>
                <w:szCs w:val="20"/>
              </w:rPr>
              <w:t>n</w:t>
            </w:r>
            <w:r w:rsidR="00B915B5" w:rsidRPr="001941B0">
              <w:rPr>
                <w:rFonts w:cstheme="minorHAnsi"/>
                <w:bCs/>
                <w:iCs/>
                <w:sz w:val="20"/>
                <w:szCs w:val="20"/>
              </w:rPr>
              <w:t>iczn</w:t>
            </w:r>
            <w:r w:rsidR="00C90EA9" w:rsidRPr="001941B0">
              <w:rPr>
                <w:rFonts w:cstheme="minorHAnsi"/>
                <w:bCs/>
                <w:iCs/>
                <w:sz w:val="20"/>
                <w:szCs w:val="20"/>
              </w:rPr>
              <w:t>e</w:t>
            </w:r>
            <w:r w:rsidR="00B915B5" w:rsidRPr="001941B0">
              <w:rPr>
                <w:rFonts w:cstheme="minorHAnsi"/>
                <w:bCs/>
                <w:iCs/>
                <w:sz w:val="20"/>
                <w:szCs w:val="20"/>
              </w:rPr>
              <w:t xml:space="preserve"> do wyrobów </w:t>
            </w:r>
            <w:r w:rsidR="00DF784E" w:rsidRPr="001941B0">
              <w:rPr>
                <w:rFonts w:cstheme="minorHAnsi"/>
                <w:bCs/>
                <w:iCs/>
                <w:sz w:val="20"/>
                <w:szCs w:val="20"/>
              </w:rPr>
              <w:t>medycznych</w:t>
            </w:r>
            <w:r w:rsidR="00642E5E" w:rsidRPr="001941B0">
              <w:rPr>
                <w:rFonts w:cstheme="minorHAnsi"/>
                <w:bCs/>
                <w:iCs/>
                <w:sz w:val="20"/>
                <w:szCs w:val="20"/>
              </w:rPr>
              <w:t xml:space="preserve"> w różnych dziedzinach i </w:t>
            </w:r>
            <w:r w:rsidR="00376B1A" w:rsidRPr="001941B0">
              <w:rPr>
                <w:rFonts w:cstheme="minorHAnsi"/>
                <w:bCs/>
                <w:iCs/>
                <w:sz w:val="20"/>
                <w:szCs w:val="20"/>
              </w:rPr>
              <w:t>będących na różnym stopniu zaawansowania technologicznego</w:t>
            </w:r>
            <w:r w:rsidR="00961B15" w:rsidRPr="001941B0">
              <w:rPr>
                <w:rFonts w:cstheme="minorHAnsi"/>
                <w:bCs/>
                <w:iCs/>
                <w:sz w:val="20"/>
                <w:szCs w:val="20"/>
              </w:rPr>
              <w:t xml:space="preserve"> w zależności od dzi</w:t>
            </w:r>
            <w:r w:rsidR="00A62C6D" w:rsidRPr="001941B0">
              <w:rPr>
                <w:rFonts w:cstheme="minorHAnsi"/>
                <w:bCs/>
                <w:iCs/>
                <w:sz w:val="20"/>
                <w:szCs w:val="20"/>
              </w:rPr>
              <w:t>edziny medycyny</w:t>
            </w:r>
            <w:r w:rsidR="002141ED" w:rsidRPr="001941B0">
              <w:rPr>
                <w:rFonts w:cstheme="minorHAnsi"/>
                <w:bCs/>
                <w:iCs/>
                <w:sz w:val="20"/>
                <w:szCs w:val="20"/>
              </w:rPr>
              <w:t>.</w:t>
            </w:r>
          </w:p>
          <w:p w14:paraId="51D3946E" w14:textId="7A99C634" w:rsidR="009D3172" w:rsidRPr="001941B0" w:rsidRDefault="009D3172" w:rsidP="006E0CB2">
            <w:pPr>
              <w:autoSpaceDE w:val="0"/>
              <w:autoSpaceDN w:val="0"/>
              <w:adjustRightInd w:val="0"/>
              <w:spacing w:after="0" w:line="240" w:lineRule="auto"/>
              <w:rPr>
                <w:rFonts w:cstheme="minorHAnsi"/>
                <w:bCs/>
                <w:iCs/>
                <w:sz w:val="20"/>
                <w:szCs w:val="20"/>
              </w:rPr>
            </w:pPr>
          </w:p>
        </w:tc>
      </w:tr>
      <w:tr w:rsidR="00FC7212" w:rsidRPr="001941B0" w14:paraId="6037E83F" w14:textId="77777777" w:rsidTr="7139DBB9">
        <w:tc>
          <w:tcPr>
            <w:tcW w:w="1125" w:type="dxa"/>
            <w:shd w:val="clear" w:color="auto" w:fill="FFFFFF" w:themeFill="background1"/>
          </w:tcPr>
          <w:p w14:paraId="5FF42AB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518B289" w14:textId="7A9DABB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Polskie Towarzystwo Informatyczne</w:t>
            </w:r>
          </w:p>
        </w:tc>
        <w:tc>
          <w:tcPr>
            <w:tcW w:w="1949" w:type="dxa"/>
            <w:shd w:val="clear" w:color="auto" w:fill="FFFFFF" w:themeFill="background1"/>
          </w:tcPr>
          <w:p w14:paraId="25475D13" w14:textId="758AB7E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11)</w:t>
            </w:r>
          </w:p>
          <w:p w14:paraId="1AFFE4F3" w14:textId="17C293F9" w:rsidR="00A63B52" w:rsidRPr="001941B0" w:rsidRDefault="00A63B52" w:rsidP="006E0CB2">
            <w:pPr>
              <w:autoSpaceDE w:val="0"/>
              <w:autoSpaceDN w:val="0"/>
              <w:adjustRightInd w:val="0"/>
              <w:spacing w:after="0" w:line="240" w:lineRule="auto"/>
              <w:rPr>
                <w:rFonts w:cs="Calibri"/>
                <w:sz w:val="20"/>
                <w:szCs w:val="20"/>
              </w:rPr>
            </w:pPr>
          </w:p>
          <w:p w14:paraId="0F8600BF" w14:textId="1822DA7B"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7483A3AB" w14:textId="77777777" w:rsidR="00306E53" w:rsidRPr="001941B0" w:rsidRDefault="00306E53" w:rsidP="006E0CB2">
            <w:pPr>
              <w:pStyle w:val="Akapitzlist"/>
              <w:numPr>
                <w:ilvl w:val="0"/>
                <w:numId w:val="9"/>
              </w:numPr>
              <w:autoSpaceDE w:val="0"/>
              <w:autoSpaceDN w:val="0"/>
              <w:adjustRightInd w:val="0"/>
              <w:spacing w:after="0" w:line="240" w:lineRule="auto"/>
              <w:rPr>
                <w:rFonts w:cs="Calibri"/>
                <w:sz w:val="20"/>
                <w:szCs w:val="20"/>
              </w:rPr>
            </w:pPr>
            <w:r w:rsidRPr="001941B0">
              <w:rPr>
                <w:rFonts w:cs="Calibri"/>
                <w:sz w:val="20"/>
                <w:szCs w:val="20"/>
              </w:rPr>
              <w:t>Dotyczy zmian w art. 5 projektu ustawy, tj. do zmiany w art. 13b ust. 2 w ustawie o systemie informacji w ochronie zdrowia. Celem jest doprecyzowanie wymagań dowodowych, odpowiedzialności oraz bezpieczeństwa procesów digitalizacji dokumentacji medycznej a także w części gdzie zaproponowano zbudowanie nowego narzędzia, które w Ocenie Skutków Regulacji, opisano jako " uproszczenie procesu digitalizacji dokumentacji medycznej, w tym możliwość dokonywania digitalizacji z wykorzystaniem narzędzia oferowanego przez Centrum e-Zdrowia"</w:t>
            </w:r>
          </w:p>
          <w:p w14:paraId="62929F4F" w14:textId="77777777" w:rsidR="00306E53" w:rsidRPr="001941B0" w:rsidRDefault="00306E53" w:rsidP="006E0CB2">
            <w:pPr>
              <w:pStyle w:val="Akapitzlist"/>
              <w:numPr>
                <w:ilvl w:val="0"/>
                <w:numId w:val="9"/>
              </w:numPr>
              <w:autoSpaceDE w:val="0"/>
              <w:autoSpaceDN w:val="0"/>
              <w:adjustRightInd w:val="0"/>
              <w:spacing w:after="0" w:line="240" w:lineRule="auto"/>
              <w:rPr>
                <w:rFonts w:cs="Calibri"/>
                <w:sz w:val="20"/>
                <w:szCs w:val="20"/>
              </w:rPr>
            </w:pPr>
            <w:r w:rsidRPr="001941B0">
              <w:rPr>
                <w:rFonts w:cs="Calibri"/>
                <w:sz w:val="20"/>
                <w:szCs w:val="20"/>
              </w:rPr>
              <w:t>Doprecyzowanie celu digitalizacji jako procesu dowodowego.</w:t>
            </w:r>
          </w:p>
          <w:p w14:paraId="761AFEBF" w14:textId="435469B7" w:rsidR="00306E53" w:rsidRPr="001941B0" w:rsidRDefault="00306E53" w:rsidP="006E0CB2">
            <w:pPr>
              <w:pStyle w:val="Akapitzlist"/>
              <w:spacing w:after="0" w:line="240" w:lineRule="auto"/>
              <w:rPr>
                <w:rFonts w:cs="Calibri"/>
                <w:sz w:val="20"/>
                <w:szCs w:val="20"/>
              </w:rPr>
            </w:pPr>
            <w:r w:rsidRPr="001941B0">
              <w:rPr>
                <w:rFonts w:cs="Calibri"/>
                <w:sz w:val="20"/>
                <w:szCs w:val="20"/>
              </w:rPr>
              <w:t>W przepisach warto jednoznacznie wskazać, że digitalizacja dokumentacji</w:t>
            </w:r>
            <w:r w:rsidR="00DE0C0D" w:rsidRPr="001941B0">
              <w:rPr>
                <w:rFonts w:cs="Calibri"/>
                <w:sz w:val="20"/>
                <w:szCs w:val="20"/>
              </w:rPr>
              <w:t xml:space="preserve"> </w:t>
            </w:r>
            <w:r w:rsidRPr="001941B0">
              <w:rPr>
                <w:rFonts w:cs="Calibri"/>
                <w:sz w:val="20"/>
                <w:szCs w:val="20"/>
              </w:rPr>
              <w:t xml:space="preserve">medycznej nie jest wyłącznie technicznym </w:t>
            </w:r>
            <w:r w:rsidRPr="001941B0">
              <w:rPr>
                <w:rFonts w:cs="Calibri"/>
                <w:sz w:val="20"/>
                <w:szCs w:val="20"/>
              </w:rPr>
              <w:br/>
              <w:t>„przeniesieniem treści” z papieru do postaci elektronicznej, lecz procesem,</w:t>
            </w:r>
            <w:r w:rsidR="00DE0C0D" w:rsidRPr="001941B0">
              <w:rPr>
                <w:rFonts w:cs="Calibri"/>
                <w:sz w:val="20"/>
                <w:szCs w:val="20"/>
              </w:rPr>
              <w:t xml:space="preserve"> </w:t>
            </w:r>
            <w:r w:rsidRPr="001941B0">
              <w:rPr>
                <w:rFonts w:cs="Calibri"/>
                <w:sz w:val="20"/>
                <w:szCs w:val="20"/>
              </w:rPr>
              <w:t>którego skutkiem ma być wytworzenie materiału dowodowego równoważnego oryginałowi. Skoro ustawowo przesądza</w:t>
            </w:r>
            <w:r w:rsidR="00DE0C0D" w:rsidRPr="001941B0">
              <w:rPr>
                <w:rFonts w:cs="Calibri"/>
                <w:sz w:val="20"/>
                <w:szCs w:val="20"/>
              </w:rPr>
              <w:t xml:space="preserve"> </w:t>
            </w:r>
            <w:r w:rsidRPr="001941B0">
              <w:rPr>
                <w:rFonts w:cs="Calibri"/>
                <w:sz w:val="20"/>
                <w:szCs w:val="20"/>
              </w:rPr>
              <w:t>się równoważność dokumentu zdigitalizowanego z oryginałem, to należy równolegle uregulować minimalne warunki zapewnienia dowodowości: identyfikowalność autora czynności, integralność, datę oraz pełną audytowalność procesu.</w:t>
            </w:r>
          </w:p>
          <w:p w14:paraId="792BEFAC" w14:textId="77777777" w:rsidR="00306E53" w:rsidRPr="001941B0" w:rsidRDefault="00306E53" w:rsidP="006E0CB2">
            <w:pPr>
              <w:pStyle w:val="Akapitzlist"/>
              <w:numPr>
                <w:ilvl w:val="0"/>
                <w:numId w:val="9"/>
              </w:numPr>
              <w:spacing w:after="0" w:line="240" w:lineRule="auto"/>
              <w:rPr>
                <w:rFonts w:cs="Calibri"/>
                <w:sz w:val="20"/>
                <w:szCs w:val="20"/>
              </w:rPr>
            </w:pPr>
            <w:r w:rsidRPr="001941B0">
              <w:rPr>
                <w:rFonts w:eastAsia="CIDFont+F4" w:cs="CIDFont+F4"/>
                <w:kern w:val="0"/>
                <w:sz w:val="20"/>
                <w:szCs w:val="20"/>
              </w:rPr>
              <w:t>Wskazanie, że dokładność i autentyczność dokumentacji medycznej jest elementem bezpieczeństwa pacjenta i finansów publicznych</w:t>
            </w:r>
            <w:r w:rsidRPr="001941B0">
              <w:rPr>
                <w:rFonts w:eastAsia="CIDFont+F1" w:cs="CIDFont+F1"/>
                <w:kern w:val="0"/>
                <w:sz w:val="20"/>
                <w:szCs w:val="20"/>
              </w:rPr>
              <w:t xml:space="preserve">. Warto uzupełnić uzasadnienie i/lub przepisy o tezę, że poprawność, autentyczność i integralność </w:t>
            </w:r>
            <w:r w:rsidRPr="001941B0">
              <w:rPr>
                <w:rFonts w:eastAsia="CIDFont+F1" w:cs="CIDFont+F1"/>
                <w:kern w:val="0"/>
                <w:sz w:val="20"/>
                <w:szCs w:val="20"/>
              </w:rPr>
              <w:lastRenderedPageBreak/>
              <w:t>dokumentacji wpływają bezpośrednio na bezpieczeństwo leczenia i decyzje kliniczne, a także na rozliczenia świadczeń oraz ryzyka nadużyć. Brak audytowalnej kontroli procesu digitalizacji może umożliwić wprowadzenie dokumentacji fałszywej, niekompletnej lub wprowadzającej w błąd.</w:t>
            </w:r>
          </w:p>
          <w:p w14:paraId="37D77703" w14:textId="77777777" w:rsidR="00306E53" w:rsidRPr="001941B0" w:rsidRDefault="00306E53" w:rsidP="006E0CB2">
            <w:pPr>
              <w:pStyle w:val="Akapitzlist"/>
              <w:numPr>
                <w:ilvl w:val="0"/>
                <w:numId w:val="9"/>
              </w:numPr>
              <w:spacing w:after="0" w:line="240" w:lineRule="auto"/>
              <w:rPr>
                <w:rFonts w:cs="Calibri"/>
                <w:sz w:val="20"/>
                <w:szCs w:val="20"/>
              </w:rPr>
            </w:pPr>
            <w:r w:rsidRPr="001941B0">
              <w:rPr>
                <w:rFonts w:cs="Calibri"/>
                <w:sz w:val="20"/>
                <w:szCs w:val="20"/>
              </w:rPr>
              <w:t>Uzupełnienie projektu o obowiązek zarządzania ryzykiem i wymagania bezpieczeństwa dla digitalizacji „uproszczonej”. Jeżeli wprowadza się uproszczony, nieodpłatny sposób digitalizacji, konieczne jest równoległe uregulowanie mechanizmów bezpieczeństwa i odpowiedzialności. Zasadne jest wprowadzenie wymogu przygotowania i utrzymywania przez ministra właściwego do spraw zdrowia analizy ryzyk oraz minimalnych wymagań zabezpieczeń dla procesu digitalizacji, obejmujących tworzenie, przechowywanie, udostępnianie i wykorzystanie dowodowe dokumentacji, z uwzględnieniem dotychczasowych incydentów i fraudów.</w:t>
            </w:r>
          </w:p>
          <w:p w14:paraId="3290D793" w14:textId="035398BF" w:rsidR="00306E53" w:rsidRPr="001941B0" w:rsidRDefault="00306E53" w:rsidP="006E0CB2">
            <w:pPr>
              <w:pStyle w:val="Akapitzlist"/>
              <w:numPr>
                <w:ilvl w:val="0"/>
                <w:numId w:val="9"/>
              </w:numPr>
              <w:spacing w:after="0" w:line="240" w:lineRule="auto"/>
              <w:rPr>
                <w:rFonts w:cs="Calibri"/>
                <w:sz w:val="20"/>
                <w:szCs w:val="20"/>
              </w:rPr>
            </w:pPr>
            <w:r w:rsidRPr="001941B0">
              <w:rPr>
                <w:rFonts w:eastAsia="CIDFont+F4" w:cs="CIDFont+F4"/>
                <w:kern w:val="0"/>
                <w:sz w:val="20"/>
                <w:szCs w:val="20"/>
              </w:rPr>
              <w:t>Polityka podpisywania i pieczętowania dokumentacji medycznej w skali sektora</w:t>
            </w:r>
            <w:r w:rsidRPr="001941B0">
              <w:rPr>
                <w:rFonts w:eastAsia="CIDFont+F1" w:cs="CIDFont+F1"/>
                <w:kern w:val="0"/>
                <w:sz w:val="20"/>
                <w:szCs w:val="20"/>
              </w:rPr>
              <w:t>. Zasadne jest dodanie podstawy prawnej do ustanowienia jednolitej polityki podpisywania/pieczętowania dokumentacji medycznej, obejmującej m.in.: zasady weryfikacji tożsamości personelu, kontrolę i audytowalność użycia pieczęci (w tym dostęp do środków i rejestrowanie użycia), zasady odpowiedzialności oraz minimalne wymagania walidacyjne. Niedopuszczalne jest uznawanie mechanizmów podpisu/pieczęci za „bezpieczne” wyłącznie dlatego, że są dostarczane przez podmiot publiczny, jeżeli nie określono</w:t>
            </w:r>
          </w:p>
          <w:p w14:paraId="585C44C4" w14:textId="77777777" w:rsidR="00306E53" w:rsidRPr="001941B0" w:rsidRDefault="00306E53" w:rsidP="006E0CB2">
            <w:pPr>
              <w:pStyle w:val="Akapitzlist"/>
              <w:spacing w:after="0" w:line="240" w:lineRule="auto"/>
              <w:rPr>
                <w:rFonts w:eastAsia="CIDFont+F1" w:cs="CIDFont+F1"/>
                <w:kern w:val="0"/>
                <w:sz w:val="20"/>
                <w:szCs w:val="20"/>
              </w:rPr>
            </w:pPr>
            <w:r w:rsidRPr="001941B0">
              <w:rPr>
                <w:rFonts w:eastAsia="CIDFont+F1" w:cs="CIDFont+F1"/>
                <w:kern w:val="0"/>
                <w:sz w:val="20"/>
                <w:szCs w:val="20"/>
              </w:rPr>
              <w:t>dla nich wymagań bezpieczeństwa i odpowiedzialności.</w:t>
            </w:r>
          </w:p>
          <w:p w14:paraId="0951C970" w14:textId="3D5F4434" w:rsidR="00306E53" w:rsidRPr="001941B0" w:rsidRDefault="00306E53" w:rsidP="006E0CB2">
            <w:pPr>
              <w:pStyle w:val="Akapitzlist"/>
              <w:numPr>
                <w:ilvl w:val="0"/>
                <w:numId w:val="9"/>
              </w:numPr>
              <w:spacing w:after="0" w:line="240" w:lineRule="auto"/>
              <w:rPr>
                <w:rFonts w:cs="Calibri"/>
                <w:sz w:val="20"/>
                <w:szCs w:val="20"/>
              </w:rPr>
            </w:pPr>
            <w:r w:rsidRPr="001941B0">
              <w:rPr>
                <w:rFonts w:cs="Calibri"/>
                <w:sz w:val="20"/>
                <w:szCs w:val="20"/>
              </w:rPr>
              <w:t xml:space="preserve">Ograniczenie ryzyka „pieczęci zamiast osoby” przy digitalizacji. Dopuszczenie pieczęci elektronicznej w procesie digitalizacji może rozmywać odpowiedzialność, ponieważ pieczęć identyfikuje </w:t>
            </w:r>
            <w:r w:rsidRPr="001941B0">
              <w:rPr>
                <w:rFonts w:cs="Calibri"/>
                <w:sz w:val="20"/>
                <w:szCs w:val="20"/>
              </w:rPr>
              <w:lastRenderedPageBreak/>
              <w:t>podmiot, a nie osobę wykonującą czynność. Warto doprecyzować, że pieczęć może pełnić rolę dodatkowego zabezpieczenia (pochodzenie/integralność na poziomie podmiotu), natomiast identyfikacja osoby zatwierdzającej zgodność odwzorowania</w:t>
            </w:r>
          </w:p>
          <w:p w14:paraId="49EBF7C9" w14:textId="77777777" w:rsidR="00306E53" w:rsidRPr="001941B0" w:rsidRDefault="00306E53" w:rsidP="006E0CB2">
            <w:pPr>
              <w:pStyle w:val="Akapitzlist"/>
              <w:spacing w:after="0" w:line="240" w:lineRule="auto"/>
              <w:rPr>
                <w:rFonts w:cs="Calibri"/>
                <w:sz w:val="20"/>
                <w:szCs w:val="20"/>
              </w:rPr>
            </w:pPr>
            <w:r w:rsidRPr="001941B0">
              <w:rPr>
                <w:rFonts w:cs="Calibri"/>
                <w:sz w:val="20"/>
                <w:szCs w:val="20"/>
              </w:rPr>
              <w:t>z oryginałem oraz przypisanie jej odpowiedzialności powinny pozostać obowiązkowe z wykorzystaniem podpisu elektronicznego osoby sporządzającej odwzorowanie.</w:t>
            </w:r>
          </w:p>
          <w:p w14:paraId="1D65C385" w14:textId="6DC86AAC" w:rsidR="00306E53" w:rsidRPr="001941B0" w:rsidRDefault="00306E53">
            <w:pPr>
              <w:pStyle w:val="Akapitzlist"/>
              <w:numPr>
                <w:ilvl w:val="0"/>
                <w:numId w:val="9"/>
              </w:numPr>
              <w:spacing w:after="0" w:line="240" w:lineRule="auto"/>
              <w:rPr>
                <w:rFonts w:cs="Calibri"/>
                <w:sz w:val="20"/>
                <w:szCs w:val="20"/>
              </w:rPr>
            </w:pPr>
            <w:r w:rsidRPr="001941B0">
              <w:rPr>
                <w:rFonts w:cs="Calibri"/>
                <w:sz w:val="20"/>
                <w:szCs w:val="20"/>
              </w:rPr>
              <w:t>Wymogi audytowe i rejestrowe dla narzędzia „darmowej digitalizacji”. Jeżeli utrzymuje się koncepcję nieodpłatnego narzędzia do digitalizacji, ustawa powinna wprost wymagać, aby narzędzie zapewniało: rejestr zdarzeń (audit trail) odporny na modyfikację,</w:t>
            </w:r>
            <w:r w:rsidR="007D6A1A" w:rsidRPr="001941B0">
              <w:rPr>
                <w:rFonts w:cs="Calibri"/>
                <w:sz w:val="20"/>
                <w:szCs w:val="20"/>
              </w:rPr>
              <w:t xml:space="preserve"> </w:t>
            </w:r>
            <w:r w:rsidRPr="001941B0">
              <w:rPr>
                <w:rFonts w:cs="Calibri"/>
                <w:sz w:val="20"/>
                <w:szCs w:val="20"/>
              </w:rPr>
              <w:t>przypisanie każdej operacji do jednoznacznie zidentyfikowanej osoby, powiązanie operacji z upoważnieniem, mechanizmy wykrywania manipulacji oraz możliwość odtworzenia całego toku czynności w razie sporu. Sam fakt udostępnienia narzędzia przez jednostkę publiczną nie zastępuje tych gwarancji.</w:t>
            </w:r>
          </w:p>
          <w:p w14:paraId="6D32C6F2" w14:textId="602E2078" w:rsidR="00306E53" w:rsidRPr="001941B0" w:rsidRDefault="00306E53" w:rsidP="006E0CB2">
            <w:pPr>
              <w:pStyle w:val="Akapitzlist"/>
              <w:numPr>
                <w:ilvl w:val="0"/>
                <w:numId w:val="9"/>
              </w:numPr>
              <w:spacing w:after="0" w:line="240" w:lineRule="auto"/>
              <w:rPr>
                <w:rFonts w:cs="Calibri"/>
                <w:sz w:val="20"/>
                <w:szCs w:val="20"/>
              </w:rPr>
            </w:pPr>
            <w:r w:rsidRPr="001941B0">
              <w:rPr>
                <w:rFonts w:cs="Calibri"/>
                <w:sz w:val="20"/>
                <w:szCs w:val="20"/>
              </w:rPr>
              <w:t>Odejście od mnożenia sektorowych „mechanizmów podpisu” i spójność z kierunkiem UE. Zamiast wprowadzać kolejne, równoległe sposoby „podpisywania” dokumentacji medycznej, należy dążyć do rozwiązań o jasnej odpowiedzialności i interoperacyjności oraz ograniczać proliferację wyjątków. Argumentacja oparta wyłącznie na „prostocie” pomija fakt, że podpis/pieczęć</w:t>
            </w:r>
          </w:p>
          <w:p w14:paraId="6F01F216" w14:textId="64BED7E0" w:rsidR="00306E53" w:rsidRPr="001941B0" w:rsidRDefault="00306E53" w:rsidP="006E0CB2">
            <w:pPr>
              <w:pStyle w:val="Akapitzlist"/>
              <w:spacing w:after="0" w:line="240" w:lineRule="auto"/>
              <w:rPr>
                <w:rFonts w:cs="Calibri"/>
                <w:sz w:val="20"/>
                <w:szCs w:val="20"/>
              </w:rPr>
            </w:pPr>
            <w:r w:rsidRPr="001941B0">
              <w:rPr>
                <w:rFonts w:cs="Calibri"/>
                <w:sz w:val="20"/>
                <w:szCs w:val="20"/>
              </w:rPr>
              <w:t xml:space="preserve">to element odpowiedzialności i bezpieczeństwa. Jeżeli państwo chce zapewnić personelowi rozwiązanie bezpłatne, powinno to być rozwiązanie spełniające wysokie wymagania i zapewniające pełną dowodowość, takie jakie spełnia </w:t>
            </w:r>
            <w:r w:rsidRPr="001941B0">
              <w:rPr>
                <w:sz w:val="20"/>
                <w:szCs w:val="20"/>
              </w:rPr>
              <w:t>kwalifikowany podpis elektroniczny.</w:t>
            </w:r>
          </w:p>
          <w:p w14:paraId="06C7585B" w14:textId="77777777" w:rsidR="00306E53" w:rsidRPr="001941B0" w:rsidRDefault="00306E53" w:rsidP="006E0CB2">
            <w:pPr>
              <w:pStyle w:val="Akapitzlist"/>
              <w:numPr>
                <w:ilvl w:val="0"/>
                <w:numId w:val="9"/>
              </w:numPr>
              <w:spacing w:after="0" w:line="240" w:lineRule="auto"/>
              <w:rPr>
                <w:rFonts w:cs="Calibri"/>
                <w:sz w:val="20"/>
                <w:szCs w:val="20"/>
              </w:rPr>
            </w:pPr>
            <w:r w:rsidRPr="001941B0">
              <w:rPr>
                <w:rFonts w:cs="Calibri"/>
                <w:sz w:val="20"/>
                <w:szCs w:val="20"/>
              </w:rPr>
              <w:lastRenderedPageBreak/>
              <w:t xml:space="preserve">Preferencja dla podpisów identyfikujących osobę i przenoszących odpowiedzialność za digitalizację. Nowelizacja powinna jednoznacznie wskazać, że podstawowym mechanizmem zabezpieczenia digitalizacji dokumentacji medycznej powinny być zaawansowane lub kwalifikowane podpisy elektroniczne, które identyfikują osobę dokonującą digitalizacji lub zatwierdzającą zgodność odwzorowania z oryginałem, a </w:t>
            </w:r>
          </w:p>
          <w:p w14:paraId="32C3CD7A" w14:textId="2C52FD2C" w:rsidR="00306E53" w:rsidRPr="001941B0" w:rsidRDefault="00306E53" w:rsidP="006E0CB2">
            <w:pPr>
              <w:pStyle w:val="Akapitzlist"/>
              <w:spacing w:after="0" w:line="240" w:lineRule="auto"/>
              <w:rPr>
                <w:rFonts w:cs="Calibri"/>
                <w:sz w:val="20"/>
                <w:szCs w:val="20"/>
              </w:rPr>
            </w:pPr>
            <w:r w:rsidRPr="001941B0">
              <w:rPr>
                <w:rFonts w:cs="Calibri"/>
                <w:sz w:val="20"/>
                <w:szCs w:val="20"/>
              </w:rPr>
              <w:t>tym samym przypisują jej odpowiedzialność. W perspektywie unijnej kwalifikowany podpis elektroniczny ma być powszechnie dostępny także w modelu opartym o cyfrowy por</w:t>
            </w:r>
            <w:r w:rsidRPr="001941B0">
              <w:rPr>
                <w:rFonts w:ascii="Aptos" w:eastAsia="Aptos" w:hAnsi="Aptos" w:cs="Aptos" w:hint="eastAsia"/>
                <w:sz w:val="20"/>
                <w:szCs w:val="20"/>
              </w:rPr>
              <w:t>􀆞</w:t>
            </w:r>
            <w:r w:rsidRPr="001941B0">
              <w:rPr>
                <w:rFonts w:cs="Calibri"/>
                <w:sz w:val="20"/>
                <w:szCs w:val="20"/>
              </w:rPr>
              <w:t>el (EUDI Wallet) jako standard o najwyższym poziomie zaufania. Jeżeli celem jest bezpieczeństwo, właściwym rozwiązaniem jest kwalifikowany podpis elektroniczny; jeżeli ma on być dla personelu zatrudnionego w podmiocie medycznym „darmowy”, powinien zostać sfinansowany systemowo (np. przez ministra właściwego do spraw zdrowia), zamiast zastępowania go uproszczonymi mechanizmami osłabiającymi dowodowość i rozmywającymi odpowiedzialność.</w:t>
            </w:r>
          </w:p>
          <w:p w14:paraId="75E17A41" w14:textId="384354F7" w:rsidR="00306E53" w:rsidRPr="001941B0" w:rsidRDefault="00306E53" w:rsidP="006E0CB2">
            <w:pPr>
              <w:spacing w:after="0" w:line="240" w:lineRule="auto"/>
              <w:rPr>
                <w:rFonts w:cs="Calibri"/>
                <w:sz w:val="20"/>
                <w:szCs w:val="20"/>
              </w:rPr>
            </w:pPr>
            <w:r w:rsidRPr="001941B0">
              <w:rPr>
                <w:rFonts w:cs="Calibri"/>
                <w:sz w:val="20"/>
                <w:szCs w:val="20"/>
              </w:rPr>
              <w:t xml:space="preserve">Rozwiązania zgodne z perspektywa pacjenta. </w:t>
            </w:r>
          </w:p>
          <w:p w14:paraId="5A5BBBEB" w14:textId="0BE30FD8" w:rsidR="00306E53" w:rsidRPr="001941B0" w:rsidRDefault="00306E53" w:rsidP="006E0CB2">
            <w:pPr>
              <w:spacing w:after="0" w:line="240" w:lineRule="auto"/>
              <w:rPr>
                <w:rFonts w:cs="Calibri"/>
                <w:sz w:val="20"/>
                <w:szCs w:val="20"/>
              </w:rPr>
            </w:pPr>
            <w:r w:rsidRPr="001941B0">
              <w:rPr>
                <w:rFonts w:cs="Calibri"/>
                <w:sz w:val="20"/>
                <w:szCs w:val="20"/>
              </w:rPr>
              <w:t>Co najmniej równie ważna jest także perspektywa pacjenta zgodnie z którą należy podkreślić ,że :</w:t>
            </w:r>
          </w:p>
          <w:p w14:paraId="50945542" w14:textId="17B5A190" w:rsidR="00306E53" w:rsidRPr="001941B0" w:rsidRDefault="00306E53" w:rsidP="006E0CB2">
            <w:pPr>
              <w:spacing w:after="0" w:line="240" w:lineRule="auto"/>
              <w:rPr>
                <w:rFonts w:cs="Calibri"/>
                <w:sz w:val="20"/>
                <w:szCs w:val="20"/>
              </w:rPr>
            </w:pPr>
            <w:r w:rsidRPr="001941B0">
              <w:rPr>
                <w:rFonts w:cs="Calibri"/>
                <w:sz w:val="20"/>
                <w:szCs w:val="20"/>
              </w:rPr>
              <w:t>a) Europejski Portfel Tożsamości Cyfrowej stanie się podstawą do tworzenia modelu zaufania w opiece zdrowotnej w skali całej UE i w dodatku w całej transgranicznej opiece .</w:t>
            </w:r>
          </w:p>
          <w:p w14:paraId="4E112EDA" w14:textId="75E016C0" w:rsidR="00306E53" w:rsidRPr="001941B0" w:rsidRDefault="00306E53" w:rsidP="006E0CB2">
            <w:pPr>
              <w:spacing w:after="0" w:line="240" w:lineRule="auto"/>
              <w:rPr>
                <w:rFonts w:cs="Calibri"/>
                <w:sz w:val="20"/>
                <w:szCs w:val="20"/>
              </w:rPr>
            </w:pPr>
            <w:r w:rsidRPr="001941B0">
              <w:rPr>
                <w:rFonts w:cs="Calibri"/>
                <w:sz w:val="20"/>
                <w:szCs w:val="20"/>
              </w:rPr>
              <w:t>b) Wraz z wdrożeniem eIDAS 2.0 Unia Europejska buduje jednolite podstawy określania tożsamości cyfrowej. które dla sektora zdrowia powinny być fundamentem prac.</w:t>
            </w:r>
          </w:p>
          <w:p w14:paraId="08FA6D32" w14:textId="30964297" w:rsidR="00306E53" w:rsidRPr="001941B0" w:rsidRDefault="00306E53" w:rsidP="006E0CB2">
            <w:pPr>
              <w:spacing w:after="0" w:line="240" w:lineRule="auto"/>
              <w:rPr>
                <w:rFonts w:cs="Calibri"/>
                <w:sz w:val="20"/>
                <w:szCs w:val="20"/>
              </w:rPr>
            </w:pPr>
            <w:r w:rsidRPr="001941B0">
              <w:rPr>
                <w:rFonts w:cs="Calibri"/>
                <w:sz w:val="20"/>
                <w:szCs w:val="20"/>
              </w:rPr>
              <w:t>c).Pacjent podróżujący po UE może potwierdzać swoją tożsamość, prawo do świadczeń zdrowotnych w tym i ważność e-recepty a udzielający świadczeń</w:t>
            </w:r>
          </w:p>
          <w:p w14:paraId="319AB59B" w14:textId="6B9DB2B0" w:rsidR="00306E53" w:rsidRPr="001941B0" w:rsidRDefault="00306E53" w:rsidP="006E0CB2">
            <w:pPr>
              <w:spacing w:after="0" w:line="240" w:lineRule="auto"/>
              <w:rPr>
                <w:rFonts w:cs="Calibri"/>
                <w:sz w:val="20"/>
                <w:szCs w:val="20"/>
              </w:rPr>
            </w:pPr>
            <w:r w:rsidRPr="001941B0">
              <w:rPr>
                <w:rFonts w:cs="Calibri"/>
                <w:sz w:val="20"/>
                <w:szCs w:val="20"/>
              </w:rPr>
              <w:t>zyskują wysokopoziomowy, interoperacyjny mechanizm weryfikacji co powinno zapobiegać wyłudzeniom i oszustwom</w:t>
            </w:r>
          </w:p>
          <w:p w14:paraId="013B8892" w14:textId="3D061B0D" w:rsidR="00306E53" w:rsidRPr="001941B0" w:rsidRDefault="00306E53" w:rsidP="006E0CB2">
            <w:pPr>
              <w:spacing w:after="0" w:line="240" w:lineRule="auto"/>
              <w:rPr>
                <w:rFonts w:cs="Calibri"/>
                <w:sz w:val="20"/>
                <w:szCs w:val="20"/>
              </w:rPr>
            </w:pPr>
            <w:r w:rsidRPr="001941B0">
              <w:rPr>
                <w:rFonts w:cs="Calibri"/>
                <w:sz w:val="20"/>
                <w:szCs w:val="20"/>
              </w:rPr>
              <w:lastRenderedPageBreak/>
              <w:t>d) Kwalifikowany podpis elektroniczny dostępny w Portfelu umożliwia składanie prawnie wiążących podpisów i uzyskiwania niezbędnych zgód pacjenta, w sposób uznawany we wszystkich państwach członkowskich. Pozwala na nadzór nad selektywnym, ograniczonym do zasady ned to know , dostępem do danych i pozwala pacjentowi udostępnić wyłącznie niezbędne informacje – wzmacniając kontrolę nad własnymi danymi zdrowotnymi. Projekt ustawy nie powinien zakładać tworzenia i wykorzystywania jakiś specyficznych narzędzi uwierzytelniania o czym napisaliśmy w pkt. 8 , skoro funkcje to mogą spełniać rozwiązania zawarte w Europejskim Portfelu Tożsamości Cyfrowej UE.</w:t>
            </w:r>
          </w:p>
          <w:p w14:paraId="0FC496CA" w14:textId="2F36592B" w:rsidR="00306E53" w:rsidRPr="001941B0" w:rsidRDefault="00306E53" w:rsidP="006E0CB2">
            <w:pPr>
              <w:spacing w:after="0" w:line="240" w:lineRule="auto"/>
              <w:rPr>
                <w:rFonts w:cs="Calibri"/>
                <w:sz w:val="20"/>
                <w:szCs w:val="20"/>
              </w:rPr>
            </w:pPr>
            <w:r w:rsidRPr="001941B0">
              <w:rPr>
                <w:rFonts w:cs="Calibri"/>
                <w:sz w:val="20"/>
                <w:szCs w:val="20"/>
              </w:rPr>
              <w:t>Podsumowując zmiana wprowadzana w ustawie w art. 13b ust. 2 w ustawie o systemie informacji w ochronie zdrowia, powinna zostać całkowicie przebudowana, ponieważ koncepcja narzędzia do cyfryzacji dokumentacji medycznej nie została prawidłowo przeanalizowana, nie ustalono modelu bezpieczeństwa i tworzy się byty oraz narzędzia, których zastosowanie może mieć negatywny wpływ na bezpieczeństwo ochrony zdrowia oraz finanse publiczne. Na problem fraudów związanych z dokumentacja medyczną zwracała uwagę także Rada ds. Cyfryzacji w Stanowisku Rady do Spraw Cyfryzacji w sprawie cyberbezpieczeństwa w sektorze medycznym.</w:t>
            </w:r>
          </w:p>
          <w:p w14:paraId="22D76419" w14:textId="04D44C19" w:rsidR="00306E53" w:rsidRPr="001941B0" w:rsidRDefault="00306E53" w:rsidP="006E0CB2">
            <w:pPr>
              <w:pStyle w:val="Akapitzlist"/>
              <w:spacing w:after="0" w:line="240" w:lineRule="auto"/>
              <w:rPr>
                <w:rFonts w:cs="Calibri"/>
                <w:sz w:val="20"/>
                <w:szCs w:val="20"/>
              </w:rPr>
            </w:pPr>
          </w:p>
        </w:tc>
        <w:tc>
          <w:tcPr>
            <w:tcW w:w="2855" w:type="dxa"/>
            <w:shd w:val="clear" w:color="auto" w:fill="FFFFFF" w:themeFill="background1"/>
          </w:tcPr>
          <w:p w14:paraId="26D78528" w14:textId="55A3CA6F" w:rsidR="00F37876" w:rsidRPr="001941B0" w:rsidRDefault="007A5333"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Wyjaśnienia</w:t>
            </w:r>
          </w:p>
          <w:p w14:paraId="61DF9A15" w14:textId="77777777" w:rsidR="007A5333" w:rsidRPr="001941B0" w:rsidRDefault="007A5333" w:rsidP="006E0CB2">
            <w:pPr>
              <w:autoSpaceDE w:val="0"/>
              <w:autoSpaceDN w:val="0"/>
              <w:adjustRightInd w:val="0"/>
              <w:spacing w:after="0" w:line="240" w:lineRule="auto"/>
              <w:rPr>
                <w:rFonts w:cstheme="minorHAnsi"/>
                <w:sz w:val="20"/>
                <w:szCs w:val="20"/>
              </w:rPr>
            </w:pPr>
          </w:p>
          <w:p w14:paraId="0FA36A48" w14:textId="6C1FAA99" w:rsidR="00F37876" w:rsidRPr="001941B0" w:rsidRDefault="00411347" w:rsidP="006E0CB2">
            <w:pPr>
              <w:autoSpaceDE w:val="0"/>
              <w:autoSpaceDN w:val="0"/>
              <w:adjustRightInd w:val="0"/>
              <w:spacing w:after="0" w:line="240" w:lineRule="auto"/>
              <w:rPr>
                <w:rFonts w:cstheme="minorHAnsi"/>
                <w:sz w:val="20"/>
                <w:szCs w:val="20"/>
              </w:rPr>
            </w:pPr>
            <w:r w:rsidRPr="001941B0">
              <w:rPr>
                <w:rFonts w:cstheme="minorHAnsi"/>
                <w:sz w:val="20"/>
                <w:szCs w:val="20"/>
              </w:rPr>
              <w:t>Projektowana ustawa wprowadza narzędzie do digitalizacji a nie zmienia przepisów już regulujących digitalizację.</w:t>
            </w:r>
            <w:r w:rsidR="00BB11E0" w:rsidRPr="001941B0">
              <w:rPr>
                <w:rFonts w:cstheme="minorHAnsi"/>
                <w:sz w:val="20"/>
                <w:szCs w:val="20"/>
              </w:rPr>
              <w:t xml:space="preserve"> </w:t>
            </w:r>
          </w:p>
          <w:p w14:paraId="64B6A6F1" w14:textId="31E5B394" w:rsidR="00FB4563" w:rsidRPr="001941B0" w:rsidRDefault="000E7488" w:rsidP="006E0CB2">
            <w:pPr>
              <w:autoSpaceDE w:val="0"/>
              <w:autoSpaceDN w:val="0"/>
              <w:adjustRightInd w:val="0"/>
              <w:spacing w:after="0" w:line="240" w:lineRule="auto"/>
              <w:rPr>
                <w:rFonts w:cstheme="minorHAnsi"/>
                <w:sz w:val="20"/>
                <w:szCs w:val="20"/>
              </w:rPr>
            </w:pPr>
            <w:r w:rsidRPr="001941B0">
              <w:rPr>
                <w:rFonts w:cstheme="minorHAnsi"/>
                <w:sz w:val="20"/>
                <w:szCs w:val="20"/>
              </w:rPr>
              <w:t>N</w:t>
            </w:r>
            <w:r w:rsidR="00D4413D" w:rsidRPr="001941B0">
              <w:rPr>
                <w:rFonts w:cstheme="minorHAnsi"/>
                <w:sz w:val="20"/>
                <w:szCs w:val="20"/>
              </w:rPr>
              <w:t>arzędzi</w:t>
            </w:r>
            <w:r w:rsidRPr="001941B0">
              <w:rPr>
                <w:rFonts w:cstheme="minorHAnsi"/>
                <w:sz w:val="20"/>
                <w:szCs w:val="20"/>
              </w:rPr>
              <w:t>e</w:t>
            </w:r>
            <w:r w:rsidR="00D4413D" w:rsidRPr="001941B0">
              <w:rPr>
                <w:rFonts w:cstheme="minorHAnsi"/>
                <w:sz w:val="20"/>
                <w:szCs w:val="20"/>
              </w:rPr>
              <w:t xml:space="preserve"> </w:t>
            </w:r>
            <w:r w:rsidRPr="001941B0">
              <w:rPr>
                <w:rFonts w:cstheme="minorHAnsi"/>
                <w:sz w:val="20"/>
                <w:szCs w:val="20"/>
              </w:rPr>
              <w:t xml:space="preserve">jest zgodne z </w:t>
            </w:r>
            <w:r w:rsidR="009E002E" w:rsidRPr="001941B0">
              <w:rPr>
                <w:rFonts w:cstheme="minorHAnsi"/>
                <w:sz w:val="20"/>
                <w:szCs w:val="20"/>
              </w:rPr>
              <w:t xml:space="preserve">obowiązującymi </w:t>
            </w:r>
            <w:r w:rsidR="00D4413D" w:rsidRPr="001941B0">
              <w:rPr>
                <w:rFonts w:cstheme="minorHAnsi"/>
                <w:sz w:val="20"/>
                <w:szCs w:val="20"/>
              </w:rPr>
              <w:t>przepisami</w:t>
            </w:r>
            <w:r w:rsidR="00580B33" w:rsidRPr="001941B0">
              <w:rPr>
                <w:rFonts w:cstheme="minorHAnsi"/>
                <w:sz w:val="20"/>
                <w:szCs w:val="20"/>
              </w:rPr>
              <w:t xml:space="preserve"> </w:t>
            </w:r>
            <w:r w:rsidRPr="001941B0">
              <w:rPr>
                <w:rFonts w:cstheme="minorHAnsi"/>
                <w:sz w:val="20"/>
                <w:szCs w:val="20"/>
              </w:rPr>
              <w:t>prawa dotyczącymi digitalizacji</w:t>
            </w:r>
            <w:r w:rsidR="00D4413D" w:rsidRPr="001941B0">
              <w:rPr>
                <w:rFonts w:cstheme="minorHAnsi"/>
                <w:sz w:val="20"/>
                <w:szCs w:val="20"/>
              </w:rPr>
              <w:t>.</w:t>
            </w:r>
          </w:p>
          <w:p w14:paraId="676A7879" w14:textId="56B180FD" w:rsidR="00827F1E" w:rsidRPr="001941B0" w:rsidRDefault="00827F1E" w:rsidP="006E0CB2">
            <w:pPr>
              <w:autoSpaceDE w:val="0"/>
              <w:autoSpaceDN w:val="0"/>
              <w:adjustRightInd w:val="0"/>
              <w:spacing w:after="0" w:line="240" w:lineRule="auto"/>
              <w:rPr>
                <w:rFonts w:cstheme="minorHAnsi"/>
                <w:sz w:val="20"/>
                <w:szCs w:val="20"/>
              </w:rPr>
            </w:pPr>
          </w:p>
          <w:p w14:paraId="41073A70" w14:textId="7E536F8C" w:rsidR="00AF440E" w:rsidRPr="001941B0" w:rsidRDefault="00AF440E" w:rsidP="006E0CB2">
            <w:pPr>
              <w:autoSpaceDE w:val="0"/>
              <w:autoSpaceDN w:val="0"/>
              <w:adjustRightInd w:val="0"/>
              <w:spacing w:after="0" w:line="240" w:lineRule="auto"/>
              <w:rPr>
                <w:rFonts w:cstheme="minorHAnsi"/>
                <w:sz w:val="20"/>
                <w:szCs w:val="20"/>
              </w:rPr>
            </w:pPr>
            <w:r w:rsidRPr="001941B0">
              <w:rPr>
                <w:rFonts w:cstheme="minorHAnsi"/>
                <w:sz w:val="20"/>
                <w:szCs w:val="20"/>
              </w:rPr>
              <w:t>Pkt 5</w:t>
            </w:r>
            <w:r w:rsidR="00291E96" w:rsidRPr="001941B0">
              <w:rPr>
                <w:rFonts w:cstheme="minorHAnsi"/>
                <w:sz w:val="20"/>
                <w:szCs w:val="20"/>
              </w:rPr>
              <w:t xml:space="preserve"> </w:t>
            </w:r>
            <w:r w:rsidR="0070716F" w:rsidRPr="001941B0">
              <w:rPr>
                <w:rFonts w:cstheme="minorHAnsi"/>
                <w:sz w:val="20"/>
                <w:szCs w:val="20"/>
              </w:rPr>
              <w:t>–</w:t>
            </w:r>
            <w:r w:rsidR="00291E96" w:rsidRPr="001941B0">
              <w:rPr>
                <w:rFonts w:cstheme="minorHAnsi"/>
                <w:sz w:val="20"/>
                <w:szCs w:val="20"/>
              </w:rPr>
              <w:t xml:space="preserve"> </w:t>
            </w:r>
            <w:r w:rsidR="0070716F" w:rsidRPr="001941B0">
              <w:rPr>
                <w:rFonts w:cstheme="minorHAnsi"/>
                <w:sz w:val="20"/>
                <w:szCs w:val="20"/>
              </w:rPr>
              <w:t xml:space="preserve">wprowadzenie pieczęci </w:t>
            </w:r>
            <w:r w:rsidR="00DE3B35" w:rsidRPr="001941B0">
              <w:rPr>
                <w:rFonts w:cstheme="minorHAnsi"/>
                <w:sz w:val="20"/>
                <w:szCs w:val="20"/>
              </w:rPr>
              <w:t>jak now</w:t>
            </w:r>
            <w:r w:rsidR="00C65671" w:rsidRPr="001941B0">
              <w:rPr>
                <w:rFonts w:cstheme="minorHAnsi"/>
                <w:sz w:val="20"/>
                <w:szCs w:val="20"/>
              </w:rPr>
              <w:t xml:space="preserve">ej </w:t>
            </w:r>
            <w:r w:rsidR="00DE3B35" w:rsidRPr="001941B0">
              <w:rPr>
                <w:rFonts w:cstheme="minorHAnsi"/>
                <w:sz w:val="20"/>
                <w:szCs w:val="20"/>
              </w:rPr>
              <w:t>metod</w:t>
            </w:r>
            <w:r w:rsidR="00C65671" w:rsidRPr="001941B0">
              <w:rPr>
                <w:rFonts w:cstheme="minorHAnsi"/>
                <w:sz w:val="20"/>
                <w:szCs w:val="20"/>
              </w:rPr>
              <w:t>y</w:t>
            </w:r>
            <w:r w:rsidR="00DE3B35" w:rsidRPr="001941B0">
              <w:rPr>
                <w:rFonts w:cstheme="minorHAnsi"/>
                <w:sz w:val="20"/>
                <w:szCs w:val="20"/>
              </w:rPr>
              <w:t xml:space="preserve"> autentykacji </w:t>
            </w:r>
            <w:r w:rsidR="0070716F" w:rsidRPr="001941B0">
              <w:rPr>
                <w:rFonts w:cstheme="minorHAnsi"/>
                <w:sz w:val="20"/>
                <w:szCs w:val="20"/>
              </w:rPr>
              <w:t xml:space="preserve">jest </w:t>
            </w:r>
            <w:r w:rsidR="000B1B2A" w:rsidRPr="001941B0">
              <w:rPr>
                <w:rFonts w:cstheme="minorHAnsi"/>
                <w:sz w:val="20"/>
                <w:szCs w:val="20"/>
              </w:rPr>
              <w:t xml:space="preserve">możliwe także dla narzędzi stosowanych komercyjnie </w:t>
            </w:r>
          </w:p>
          <w:p w14:paraId="5C83624D" w14:textId="0305A127" w:rsidR="000B1B2A" w:rsidRPr="001941B0" w:rsidRDefault="000B1B2A" w:rsidP="000B1B2A">
            <w:pPr>
              <w:autoSpaceDE w:val="0"/>
              <w:autoSpaceDN w:val="0"/>
              <w:adjustRightInd w:val="0"/>
              <w:spacing w:after="0" w:line="240" w:lineRule="auto"/>
              <w:rPr>
                <w:rFonts w:cstheme="minorHAnsi"/>
                <w:sz w:val="20"/>
                <w:szCs w:val="20"/>
              </w:rPr>
            </w:pPr>
          </w:p>
          <w:p w14:paraId="445449BE" w14:textId="77777777" w:rsidR="00531C46" w:rsidRPr="001941B0" w:rsidRDefault="00531C46" w:rsidP="006E0CB2">
            <w:pPr>
              <w:autoSpaceDE w:val="0"/>
              <w:autoSpaceDN w:val="0"/>
              <w:adjustRightInd w:val="0"/>
              <w:spacing w:after="0" w:line="240" w:lineRule="auto"/>
              <w:rPr>
                <w:rFonts w:cstheme="minorHAnsi"/>
                <w:sz w:val="20"/>
                <w:szCs w:val="20"/>
              </w:rPr>
            </w:pPr>
          </w:p>
          <w:p w14:paraId="72C26734" w14:textId="538ECA4E" w:rsidR="00531C46" w:rsidRPr="001941B0" w:rsidRDefault="00531C46"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Pkt 6 </w:t>
            </w:r>
            <w:r w:rsidR="00194BC1" w:rsidRPr="001941B0">
              <w:rPr>
                <w:rFonts w:cstheme="minorHAnsi"/>
                <w:sz w:val="20"/>
                <w:szCs w:val="20"/>
              </w:rPr>
              <w:t>–</w:t>
            </w:r>
            <w:r w:rsidRPr="001941B0">
              <w:rPr>
                <w:rFonts w:cstheme="minorHAnsi"/>
                <w:sz w:val="20"/>
                <w:szCs w:val="20"/>
              </w:rPr>
              <w:t xml:space="preserve"> </w:t>
            </w:r>
            <w:r w:rsidR="00194BC1" w:rsidRPr="001941B0">
              <w:rPr>
                <w:rFonts w:cstheme="minorHAnsi"/>
                <w:sz w:val="20"/>
                <w:szCs w:val="20"/>
              </w:rPr>
              <w:t>odpowiedzialność podmiotu</w:t>
            </w:r>
            <w:r w:rsidR="001B6822" w:rsidRPr="001941B0">
              <w:rPr>
                <w:rFonts w:cstheme="minorHAnsi"/>
                <w:sz w:val="20"/>
                <w:szCs w:val="20"/>
              </w:rPr>
              <w:t xml:space="preserve"> jest w przypadku posługiwania się pieczęcią </w:t>
            </w:r>
            <w:r w:rsidR="00A729D4" w:rsidRPr="001941B0">
              <w:rPr>
                <w:rFonts w:cstheme="minorHAnsi"/>
                <w:sz w:val="20"/>
                <w:szCs w:val="20"/>
              </w:rPr>
              <w:t xml:space="preserve">elektroniczną </w:t>
            </w:r>
            <w:r w:rsidR="00BA6395" w:rsidRPr="001941B0">
              <w:rPr>
                <w:rFonts w:cstheme="minorHAnsi"/>
                <w:sz w:val="20"/>
                <w:szCs w:val="20"/>
              </w:rPr>
              <w:t xml:space="preserve">w tym przez osobę upoważnioną przez usługodawcę </w:t>
            </w:r>
          </w:p>
          <w:p w14:paraId="5A53D0F0" w14:textId="77777777" w:rsidR="000B1B2A" w:rsidRPr="001941B0" w:rsidRDefault="000B1B2A" w:rsidP="006E0CB2">
            <w:pPr>
              <w:autoSpaceDE w:val="0"/>
              <w:autoSpaceDN w:val="0"/>
              <w:adjustRightInd w:val="0"/>
              <w:spacing w:after="0" w:line="240" w:lineRule="auto"/>
              <w:rPr>
                <w:rFonts w:cstheme="minorHAnsi"/>
                <w:sz w:val="20"/>
                <w:szCs w:val="20"/>
              </w:rPr>
            </w:pPr>
          </w:p>
          <w:p w14:paraId="603C93EA" w14:textId="77777777" w:rsidR="00636390" w:rsidRPr="001941B0" w:rsidRDefault="00636390" w:rsidP="006E0CB2">
            <w:pPr>
              <w:autoSpaceDE w:val="0"/>
              <w:autoSpaceDN w:val="0"/>
              <w:adjustRightInd w:val="0"/>
              <w:spacing w:after="0" w:line="240" w:lineRule="auto"/>
              <w:rPr>
                <w:rFonts w:cstheme="minorHAnsi"/>
                <w:sz w:val="20"/>
                <w:szCs w:val="20"/>
              </w:rPr>
            </w:pPr>
          </w:p>
          <w:p w14:paraId="12920804" w14:textId="3CB06E9C" w:rsidR="00636390" w:rsidRPr="001941B0" w:rsidRDefault="00636390"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Pkt 7 </w:t>
            </w:r>
            <w:r w:rsidR="00216751" w:rsidRPr="001941B0">
              <w:rPr>
                <w:rFonts w:cstheme="minorHAnsi"/>
                <w:sz w:val="20"/>
                <w:szCs w:val="20"/>
              </w:rPr>
              <w:t>–</w:t>
            </w:r>
            <w:r w:rsidRPr="001941B0">
              <w:rPr>
                <w:rFonts w:cstheme="minorHAnsi"/>
                <w:sz w:val="20"/>
                <w:szCs w:val="20"/>
              </w:rPr>
              <w:t xml:space="preserve"> </w:t>
            </w:r>
            <w:r w:rsidR="00216751" w:rsidRPr="001941B0">
              <w:rPr>
                <w:rFonts w:cstheme="minorHAnsi"/>
                <w:sz w:val="20"/>
                <w:szCs w:val="20"/>
              </w:rPr>
              <w:t>zostanie zapewniony ślad audytowy</w:t>
            </w:r>
          </w:p>
          <w:p w14:paraId="53093318" w14:textId="77777777" w:rsidR="00216751" w:rsidRPr="001941B0" w:rsidRDefault="00216751" w:rsidP="006E0CB2">
            <w:pPr>
              <w:autoSpaceDE w:val="0"/>
              <w:autoSpaceDN w:val="0"/>
              <w:adjustRightInd w:val="0"/>
              <w:spacing w:after="0" w:line="240" w:lineRule="auto"/>
              <w:rPr>
                <w:rFonts w:cstheme="minorHAnsi"/>
                <w:sz w:val="20"/>
                <w:szCs w:val="20"/>
              </w:rPr>
            </w:pPr>
          </w:p>
          <w:p w14:paraId="6771BD96" w14:textId="7FB4B0DA" w:rsidR="00216751" w:rsidRPr="001941B0" w:rsidRDefault="00216751"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Pkt 8 – </w:t>
            </w:r>
            <w:r w:rsidR="00DD5222" w:rsidRPr="001941B0">
              <w:rPr>
                <w:rFonts w:cstheme="minorHAnsi"/>
                <w:sz w:val="20"/>
                <w:szCs w:val="20"/>
              </w:rPr>
              <w:t xml:space="preserve">rozwiązania </w:t>
            </w:r>
            <w:r w:rsidR="00C933AC" w:rsidRPr="001941B0">
              <w:rPr>
                <w:rFonts w:cstheme="minorHAnsi"/>
                <w:sz w:val="20"/>
                <w:szCs w:val="20"/>
              </w:rPr>
              <w:t xml:space="preserve">portfela cyfrowego </w:t>
            </w:r>
            <w:r w:rsidR="00DD5222" w:rsidRPr="001941B0">
              <w:rPr>
                <w:rFonts w:cstheme="minorHAnsi"/>
                <w:sz w:val="20"/>
                <w:szCs w:val="20"/>
              </w:rPr>
              <w:t xml:space="preserve">będą </w:t>
            </w:r>
            <w:r w:rsidR="00C933AC" w:rsidRPr="001941B0">
              <w:rPr>
                <w:rFonts w:cstheme="minorHAnsi"/>
                <w:sz w:val="20"/>
                <w:szCs w:val="20"/>
              </w:rPr>
              <w:t>wprowadzone</w:t>
            </w:r>
            <w:r w:rsidR="00DD5222" w:rsidRPr="001941B0">
              <w:rPr>
                <w:rFonts w:cstheme="minorHAnsi"/>
                <w:sz w:val="20"/>
                <w:szCs w:val="20"/>
              </w:rPr>
              <w:t xml:space="preserve"> </w:t>
            </w:r>
            <w:r w:rsidR="00DD5222" w:rsidRPr="001941B0">
              <w:rPr>
                <w:rFonts w:cstheme="minorHAnsi"/>
                <w:sz w:val="20"/>
                <w:szCs w:val="20"/>
              </w:rPr>
              <w:lastRenderedPageBreak/>
              <w:t>centralnie przez MC</w:t>
            </w:r>
            <w:r w:rsidR="0090492D" w:rsidRPr="001941B0">
              <w:rPr>
                <w:rFonts w:cstheme="minorHAnsi"/>
                <w:sz w:val="20"/>
                <w:szCs w:val="20"/>
              </w:rPr>
              <w:t xml:space="preserve">. </w:t>
            </w:r>
            <w:r w:rsidR="009E002E" w:rsidRPr="001941B0">
              <w:rPr>
                <w:rFonts w:cstheme="minorHAnsi"/>
                <w:sz w:val="20"/>
                <w:szCs w:val="20"/>
              </w:rPr>
              <w:t>R</w:t>
            </w:r>
            <w:r w:rsidR="0090492D" w:rsidRPr="001941B0">
              <w:rPr>
                <w:rFonts w:cstheme="minorHAnsi"/>
                <w:sz w:val="20"/>
                <w:szCs w:val="20"/>
              </w:rPr>
              <w:t xml:space="preserve">ozwiązania </w:t>
            </w:r>
            <w:r w:rsidR="009E002E" w:rsidRPr="001941B0">
              <w:rPr>
                <w:rFonts w:cstheme="minorHAnsi"/>
                <w:sz w:val="20"/>
                <w:szCs w:val="20"/>
              </w:rPr>
              <w:t xml:space="preserve">projektowanej regulacji </w:t>
            </w:r>
            <w:r w:rsidR="0090492D" w:rsidRPr="001941B0">
              <w:rPr>
                <w:rFonts w:cstheme="minorHAnsi"/>
                <w:sz w:val="20"/>
                <w:szCs w:val="20"/>
              </w:rPr>
              <w:t>nie są w sprzeczności z planowanymi rozwiązaniami</w:t>
            </w:r>
            <w:r w:rsidR="00DE5663" w:rsidRPr="001941B0">
              <w:rPr>
                <w:rFonts w:cstheme="minorHAnsi"/>
                <w:sz w:val="20"/>
                <w:szCs w:val="20"/>
              </w:rPr>
              <w:t xml:space="preserve"> przez inne akty prawne, w tym będące w kompetencjach MC</w:t>
            </w:r>
            <w:r w:rsidR="0090492D" w:rsidRPr="001941B0">
              <w:rPr>
                <w:rFonts w:cstheme="minorHAnsi"/>
                <w:sz w:val="20"/>
                <w:szCs w:val="20"/>
              </w:rPr>
              <w:t>.</w:t>
            </w:r>
          </w:p>
          <w:p w14:paraId="3A6DD96C" w14:textId="77777777" w:rsidR="004D3896" w:rsidRPr="001941B0" w:rsidRDefault="004D3896" w:rsidP="006E0CB2">
            <w:pPr>
              <w:autoSpaceDE w:val="0"/>
              <w:autoSpaceDN w:val="0"/>
              <w:adjustRightInd w:val="0"/>
              <w:spacing w:after="0" w:line="240" w:lineRule="auto"/>
              <w:rPr>
                <w:rFonts w:cstheme="minorHAnsi"/>
                <w:sz w:val="20"/>
                <w:szCs w:val="20"/>
              </w:rPr>
            </w:pPr>
          </w:p>
          <w:p w14:paraId="31AF4EE9" w14:textId="39F2CA9B" w:rsidR="004D3896" w:rsidRPr="001941B0" w:rsidRDefault="004D3896"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Pkt 9 </w:t>
            </w:r>
            <w:r w:rsidR="005F4813" w:rsidRPr="001941B0">
              <w:rPr>
                <w:rFonts w:cstheme="minorHAnsi"/>
                <w:sz w:val="20"/>
                <w:szCs w:val="20"/>
              </w:rPr>
              <w:t>–</w:t>
            </w:r>
            <w:r w:rsidRPr="001941B0">
              <w:rPr>
                <w:rFonts w:cstheme="minorHAnsi"/>
                <w:sz w:val="20"/>
                <w:szCs w:val="20"/>
              </w:rPr>
              <w:t xml:space="preserve"> </w:t>
            </w:r>
            <w:r w:rsidR="00E72645" w:rsidRPr="001941B0">
              <w:rPr>
                <w:rFonts w:cstheme="minorHAnsi"/>
                <w:sz w:val="20"/>
                <w:szCs w:val="20"/>
              </w:rPr>
              <w:t>korzystanie z pieczęci jest fakultatywne. J</w:t>
            </w:r>
            <w:r w:rsidR="005F4813" w:rsidRPr="001941B0">
              <w:rPr>
                <w:rFonts w:cstheme="minorHAnsi"/>
                <w:sz w:val="20"/>
                <w:szCs w:val="20"/>
              </w:rPr>
              <w:t xml:space="preserve">eśli podmiot </w:t>
            </w:r>
            <w:r w:rsidR="00F50497" w:rsidRPr="001941B0">
              <w:rPr>
                <w:rFonts w:cstheme="minorHAnsi"/>
                <w:sz w:val="20"/>
                <w:szCs w:val="20"/>
              </w:rPr>
              <w:t xml:space="preserve">medyczny </w:t>
            </w:r>
            <w:r w:rsidR="005F4813" w:rsidRPr="001941B0">
              <w:rPr>
                <w:rFonts w:cstheme="minorHAnsi"/>
                <w:sz w:val="20"/>
                <w:szCs w:val="20"/>
              </w:rPr>
              <w:t xml:space="preserve">uważa, że nie jest </w:t>
            </w:r>
            <w:r w:rsidR="00F50497" w:rsidRPr="001941B0">
              <w:rPr>
                <w:rFonts w:cstheme="minorHAnsi"/>
                <w:sz w:val="20"/>
                <w:szCs w:val="20"/>
              </w:rPr>
              <w:t xml:space="preserve">to </w:t>
            </w:r>
            <w:r w:rsidR="005F4813" w:rsidRPr="001941B0">
              <w:rPr>
                <w:rFonts w:cstheme="minorHAnsi"/>
                <w:sz w:val="20"/>
                <w:szCs w:val="20"/>
              </w:rPr>
              <w:t>bezpieczn</w:t>
            </w:r>
            <w:r w:rsidR="00F50497" w:rsidRPr="001941B0">
              <w:rPr>
                <w:rFonts w:cstheme="minorHAnsi"/>
                <w:sz w:val="20"/>
                <w:szCs w:val="20"/>
              </w:rPr>
              <w:t>a metoda</w:t>
            </w:r>
            <w:r w:rsidR="005F4813" w:rsidRPr="001941B0">
              <w:rPr>
                <w:rFonts w:cstheme="minorHAnsi"/>
                <w:sz w:val="20"/>
                <w:szCs w:val="20"/>
              </w:rPr>
              <w:t xml:space="preserve"> nie </w:t>
            </w:r>
            <w:r w:rsidR="00F50497" w:rsidRPr="001941B0">
              <w:rPr>
                <w:rFonts w:cstheme="minorHAnsi"/>
                <w:sz w:val="20"/>
                <w:szCs w:val="20"/>
              </w:rPr>
              <w:t xml:space="preserve">musi jej </w:t>
            </w:r>
            <w:r w:rsidR="00C15666" w:rsidRPr="001941B0">
              <w:rPr>
                <w:rFonts w:cstheme="minorHAnsi"/>
                <w:sz w:val="20"/>
                <w:szCs w:val="20"/>
              </w:rPr>
              <w:t>wykorzystywać</w:t>
            </w:r>
            <w:r w:rsidR="00E72645" w:rsidRPr="001941B0">
              <w:rPr>
                <w:rFonts w:cstheme="minorHAnsi"/>
                <w:sz w:val="20"/>
                <w:szCs w:val="20"/>
              </w:rPr>
              <w:t>.</w:t>
            </w:r>
            <w:r w:rsidR="00D8053D" w:rsidRPr="001941B0">
              <w:rPr>
                <w:rFonts w:cstheme="minorHAnsi"/>
                <w:sz w:val="20"/>
                <w:szCs w:val="20"/>
              </w:rPr>
              <w:t xml:space="preserve"> </w:t>
            </w:r>
          </w:p>
          <w:p w14:paraId="3C27DC36" w14:textId="24B06302" w:rsidR="00306E53" w:rsidRPr="001941B0" w:rsidRDefault="00306E53" w:rsidP="006E0CB2">
            <w:pPr>
              <w:autoSpaceDE w:val="0"/>
              <w:autoSpaceDN w:val="0"/>
              <w:adjustRightInd w:val="0"/>
              <w:spacing w:after="0" w:line="240" w:lineRule="auto"/>
              <w:rPr>
                <w:rFonts w:cstheme="minorHAnsi"/>
                <w:sz w:val="20"/>
                <w:szCs w:val="20"/>
              </w:rPr>
            </w:pPr>
          </w:p>
        </w:tc>
      </w:tr>
      <w:tr w:rsidR="00FC7212" w:rsidRPr="001941B0" w14:paraId="4B0A302E" w14:textId="77777777" w:rsidTr="7139DBB9">
        <w:tc>
          <w:tcPr>
            <w:tcW w:w="1125" w:type="dxa"/>
            <w:shd w:val="clear" w:color="auto" w:fill="FFFFFF" w:themeFill="background1"/>
          </w:tcPr>
          <w:p w14:paraId="28B07212"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414F2C9" w14:textId="3035D1AF"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Polskie Lekarskie Towarzystwo Radiologiczne</w:t>
            </w:r>
          </w:p>
        </w:tc>
        <w:tc>
          <w:tcPr>
            <w:tcW w:w="1949" w:type="dxa"/>
            <w:shd w:val="clear" w:color="auto" w:fill="FFFFFF" w:themeFill="background1"/>
          </w:tcPr>
          <w:p w14:paraId="5067D16A" w14:textId="2AAEC6BA"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Art 5 pkt 17 (PUI)</w:t>
            </w:r>
          </w:p>
          <w:p w14:paraId="70B810AE" w14:textId="2240577A" w:rsidR="00A63B52" w:rsidRPr="001941B0" w:rsidRDefault="00A63B52" w:rsidP="006E0CB2">
            <w:pPr>
              <w:autoSpaceDE w:val="0"/>
              <w:autoSpaceDN w:val="0"/>
              <w:adjustRightInd w:val="0"/>
              <w:spacing w:after="0" w:line="240" w:lineRule="auto"/>
              <w:rPr>
                <w:rFonts w:eastAsiaTheme="minorEastAsia"/>
                <w:sz w:val="20"/>
                <w:szCs w:val="20"/>
              </w:rPr>
            </w:pPr>
          </w:p>
          <w:p w14:paraId="02B2BF1F" w14:textId="0B7A32A7" w:rsidR="00306E53" w:rsidRPr="001941B0" w:rsidRDefault="00306E53" w:rsidP="006E0CB2">
            <w:pPr>
              <w:autoSpaceDE w:val="0"/>
              <w:autoSpaceDN w:val="0"/>
              <w:adjustRightInd w:val="0"/>
              <w:spacing w:after="0" w:line="240" w:lineRule="auto"/>
              <w:rPr>
                <w:rFonts w:eastAsiaTheme="minorEastAsia"/>
                <w:b/>
                <w:sz w:val="20"/>
                <w:szCs w:val="20"/>
              </w:rPr>
            </w:pPr>
          </w:p>
        </w:tc>
        <w:tc>
          <w:tcPr>
            <w:tcW w:w="5652" w:type="dxa"/>
            <w:shd w:val="clear" w:color="auto" w:fill="FFFFFF" w:themeFill="background1"/>
          </w:tcPr>
          <w:p w14:paraId="540F3CC3" w14:textId="3A0BAC84" w:rsidR="00306E53" w:rsidRPr="001941B0" w:rsidRDefault="00306E53" w:rsidP="006E0CB2">
            <w:pPr>
              <w:autoSpaceDE w:val="0"/>
              <w:autoSpaceDN w:val="0"/>
              <w:adjustRightInd w:val="0"/>
              <w:spacing w:after="0" w:line="240" w:lineRule="auto"/>
              <w:jc w:val="both"/>
              <w:rPr>
                <w:rFonts w:eastAsiaTheme="minorEastAsia"/>
                <w:color w:val="000000" w:themeColor="text1"/>
                <w:sz w:val="20"/>
                <w:szCs w:val="20"/>
              </w:rPr>
            </w:pPr>
            <w:r w:rsidRPr="001941B0">
              <w:rPr>
                <w:rFonts w:eastAsiaTheme="minorEastAsia"/>
                <w:color w:val="000000" w:themeColor="text1"/>
                <w:sz w:val="20"/>
                <w:szCs w:val="20"/>
              </w:rPr>
              <w:t xml:space="preserve">Koniecznym jest wskazanie, że jakkolwiek elektoradiolog posiada kompetencje do wykonywania badań obrazowych, tak nie posiada umiejętności i kompetencji do ich oceny i analizy wyniku badania. </w:t>
            </w:r>
          </w:p>
          <w:p w14:paraId="22760655" w14:textId="65E7EAF2" w:rsidR="00306E53" w:rsidRPr="001941B0" w:rsidRDefault="00306E53" w:rsidP="006E0CB2">
            <w:pPr>
              <w:autoSpaceDE w:val="0"/>
              <w:autoSpaceDN w:val="0"/>
              <w:adjustRightInd w:val="0"/>
              <w:spacing w:after="0" w:line="240" w:lineRule="auto"/>
              <w:ind w:firstLine="708"/>
              <w:jc w:val="both"/>
              <w:rPr>
                <w:rFonts w:eastAsiaTheme="minorEastAsia"/>
                <w:i/>
                <w:color w:val="000000" w:themeColor="text1"/>
                <w:sz w:val="20"/>
                <w:szCs w:val="20"/>
              </w:rPr>
            </w:pPr>
            <w:r w:rsidRPr="001941B0">
              <w:rPr>
                <w:rFonts w:eastAsiaTheme="minorEastAsia"/>
                <w:color w:val="000000" w:themeColor="text1"/>
                <w:sz w:val="20"/>
                <w:szCs w:val="20"/>
              </w:rPr>
              <w:t xml:space="preserve">W treści uzasadnienia do projektu u.e.z, (s.3.), wskazuje się, że dzięki działaniu narzędzia wspomagającego analizę badań obrazowych, </w:t>
            </w:r>
            <w:r w:rsidRPr="001941B0">
              <w:rPr>
                <w:rFonts w:eastAsiaTheme="minorEastAsia"/>
                <w:i/>
                <w:color w:val="000000" w:themeColor="text1"/>
                <w:sz w:val="20"/>
                <w:szCs w:val="20"/>
              </w:rPr>
              <w:t xml:space="preserve">„(…) Lekarze i elektroradiolodzy będą mogli bowiem w stosunkowo krótkim czasie otrzymać interpretację wyniku wykonaną przez algorytm sztucznej inteligencji (AI)”. </w:t>
            </w:r>
          </w:p>
          <w:p w14:paraId="22E4071B" w14:textId="7F87C7CC" w:rsidR="00306E53" w:rsidRPr="001941B0" w:rsidRDefault="00306E53" w:rsidP="006E0CB2">
            <w:pPr>
              <w:autoSpaceDE w:val="0"/>
              <w:autoSpaceDN w:val="0"/>
              <w:adjustRightInd w:val="0"/>
              <w:spacing w:after="0" w:line="240" w:lineRule="auto"/>
              <w:ind w:firstLine="708"/>
              <w:jc w:val="both"/>
              <w:rPr>
                <w:rFonts w:eastAsiaTheme="minorEastAsia"/>
                <w:color w:val="000000" w:themeColor="text1"/>
                <w:sz w:val="20"/>
                <w:szCs w:val="20"/>
              </w:rPr>
            </w:pPr>
            <w:r w:rsidRPr="001941B0">
              <w:rPr>
                <w:rFonts w:eastAsiaTheme="minorEastAsia"/>
                <w:color w:val="000000" w:themeColor="text1"/>
                <w:sz w:val="20"/>
                <w:szCs w:val="20"/>
              </w:rPr>
              <w:t xml:space="preserve">Ustawodawca nie dokonuje jednak zróżnicowania uprawnień lekarza radiologa i elektroradiologa w przedmiocie </w:t>
            </w:r>
            <w:r w:rsidRPr="001941B0">
              <w:rPr>
                <w:rFonts w:eastAsiaTheme="minorEastAsia"/>
                <w:color w:val="000000" w:themeColor="text1"/>
                <w:sz w:val="20"/>
                <w:szCs w:val="20"/>
              </w:rPr>
              <w:lastRenderedPageBreak/>
              <w:t>korzystania z platformy PUI jako narzędzia wspomagającego, jak i posługiwania się wynikiem badania przygotowanego w oparciu o interpretację systemu AI. Rozwiązanie to należy ocenić krytycznie mając na uwadze kompetencje zawodowe elektroradiologa, które nie odnoszą się do weryfikacji i oceny wyników badań obrazowych, ani też posługiwania się wynikiem tych badań na płaszczyźnie kontaktu z pacjentem.</w:t>
            </w:r>
          </w:p>
          <w:p w14:paraId="1357BC00" w14:textId="61D7DB27" w:rsidR="00306E53" w:rsidRPr="001941B0" w:rsidRDefault="00306E53" w:rsidP="006E0CB2">
            <w:pPr>
              <w:spacing w:after="0" w:line="240" w:lineRule="auto"/>
              <w:ind w:firstLine="708"/>
              <w:jc w:val="both"/>
              <w:rPr>
                <w:rFonts w:eastAsiaTheme="minorEastAsia"/>
                <w:sz w:val="20"/>
                <w:szCs w:val="20"/>
              </w:rPr>
            </w:pPr>
            <w:r w:rsidRPr="001941B0">
              <w:rPr>
                <w:rFonts w:eastAsiaTheme="minorEastAsia"/>
                <w:color w:val="000000" w:themeColor="text1"/>
                <w:sz w:val="20"/>
                <w:szCs w:val="20"/>
              </w:rPr>
              <w:t>Koniecznym jest zatem usunięcie zapisów dotyczących osób wykonujących zawód elektroradiologa z katalogu regulacji odnoszących się do wykorzystywania narzędzi PUI jako wspomagających proces oceny badań obrazowych. Każde inne rozwiązanie może powodować powstawanie nadużyć związanych z wykonywanie przez elektroradiologów czynności niewskazanych w treści załącznika nr 2 r.cz.z., co ma szczególne znaczenie w ośrodkach borykających się z brakami kadrowymi i niedoborem lekarzy radiologów</w:t>
            </w:r>
          </w:p>
          <w:p w14:paraId="1E5AC149" w14:textId="1BF5D76F" w:rsidR="00306E53" w:rsidRPr="001941B0" w:rsidRDefault="00306E53" w:rsidP="006E0CB2">
            <w:pPr>
              <w:autoSpaceDE w:val="0"/>
              <w:autoSpaceDN w:val="0"/>
              <w:adjustRightInd w:val="0"/>
              <w:spacing w:after="0" w:line="240" w:lineRule="auto"/>
              <w:rPr>
                <w:rFonts w:eastAsiaTheme="minorEastAsia"/>
                <w:sz w:val="20"/>
                <w:szCs w:val="20"/>
              </w:rPr>
            </w:pPr>
          </w:p>
        </w:tc>
        <w:tc>
          <w:tcPr>
            <w:tcW w:w="2855" w:type="dxa"/>
            <w:shd w:val="clear" w:color="auto" w:fill="FFFFFF" w:themeFill="background1"/>
          </w:tcPr>
          <w:p w14:paraId="3B1B8ECC" w14:textId="581F39D8" w:rsidR="004E74CA" w:rsidRPr="001941B0" w:rsidRDefault="004E74CA" w:rsidP="004E74CA">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częściowo uwzględniona</w:t>
            </w:r>
          </w:p>
          <w:p w14:paraId="4714FFC1" w14:textId="01E81F50" w:rsidR="00E361E0" w:rsidRPr="001941B0" w:rsidRDefault="00B65024" w:rsidP="006E0CB2">
            <w:pPr>
              <w:autoSpaceDE w:val="0"/>
              <w:autoSpaceDN w:val="0"/>
              <w:adjustRightInd w:val="0"/>
              <w:spacing w:after="0" w:line="240" w:lineRule="auto"/>
              <w:rPr>
                <w:rFonts w:cstheme="minorHAnsi"/>
                <w:sz w:val="20"/>
                <w:szCs w:val="20"/>
              </w:rPr>
            </w:pPr>
            <w:r w:rsidRPr="001941B0">
              <w:rPr>
                <w:rFonts w:cstheme="minorHAnsi"/>
                <w:sz w:val="20"/>
                <w:szCs w:val="20"/>
              </w:rPr>
              <w:t>E</w:t>
            </w:r>
            <w:r w:rsidR="00185CD7" w:rsidRPr="001941B0">
              <w:rPr>
                <w:rFonts w:cstheme="minorHAnsi"/>
                <w:sz w:val="20"/>
                <w:szCs w:val="20"/>
              </w:rPr>
              <w:t xml:space="preserve">lektroradiolog ma możliwość zlecania badania do analizy a lekarz </w:t>
            </w:r>
            <w:r w:rsidR="00E361E0" w:rsidRPr="001941B0">
              <w:rPr>
                <w:rFonts w:cstheme="minorHAnsi"/>
                <w:sz w:val="20"/>
                <w:szCs w:val="20"/>
              </w:rPr>
              <w:t xml:space="preserve">jest odpowiedzialny za </w:t>
            </w:r>
            <w:r w:rsidR="00986385" w:rsidRPr="001941B0">
              <w:rPr>
                <w:rFonts w:cstheme="minorHAnsi"/>
                <w:sz w:val="20"/>
                <w:szCs w:val="20"/>
              </w:rPr>
              <w:t>interpr</w:t>
            </w:r>
            <w:r w:rsidR="00A42368" w:rsidRPr="001941B0">
              <w:rPr>
                <w:rFonts w:cstheme="minorHAnsi"/>
                <w:sz w:val="20"/>
                <w:szCs w:val="20"/>
              </w:rPr>
              <w:t xml:space="preserve">etację </w:t>
            </w:r>
            <w:r w:rsidR="00D934D1" w:rsidRPr="001941B0">
              <w:rPr>
                <w:rFonts w:cstheme="minorHAnsi"/>
                <w:sz w:val="20"/>
                <w:szCs w:val="20"/>
              </w:rPr>
              <w:t>i odbiór wyniku.</w:t>
            </w:r>
          </w:p>
          <w:p w14:paraId="63ED6F97" w14:textId="41A4533D" w:rsidR="004E74CA" w:rsidRPr="001941B0" w:rsidRDefault="004E74CA" w:rsidP="004E74CA">
            <w:pPr>
              <w:autoSpaceDE w:val="0"/>
              <w:autoSpaceDN w:val="0"/>
              <w:adjustRightInd w:val="0"/>
              <w:spacing w:after="0" w:line="240" w:lineRule="auto"/>
              <w:rPr>
                <w:sz w:val="20"/>
                <w:szCs w:val="20"/>
              </w:rPr>
            </w:pPr>
            <w:r w:rsidRPr="001941B0">
              <w:rPr>
                <w:sz w:val="20"/>
                <w:szCs w:val="20"/>
              </w:rPr>
              <w:t>Wprowadzono zmiany w uzasadnieni</w:t>
            </w:r>
            <w:r w:rsidR="00D2342C" w:rsidRPr="001941B0">
              <w:rPr>
                <w:sz w:val="20"/>
                <w:szCs w:val="20"/>
              </w:rPr>
              <w:t>u</w:t>
            </w:r>
            <w:r w:rsidRPr="001941B0">
              <w:rPr>
                <w:sz w:val="20"/>
                <w:szCs w:val="20"/>
              </w:rPr>
              <w:t xml:space="preserve"> do ustawy. </w:t>
            </w:r>
          </w:p>
          <w:p w14:paraId="57E59281" w14:textId="77777777" w:rsidR="004E74CA" w:rsidRPr="001941B0" w:rsidRDefault="004E74CA" w:rsidP="004E74CA">
            <w:pPr>
              <w:autoSpaceDE w:val="0"/>
              <w:autoSpaceDN w:val="0"/>
              <w:adjustRightInd w:val="0"/>
              <w:spacing w:after="0" w:line="240" w:lineRule="auto"/>
              <w:rPr>
                <w:rFonts w:cstheme="minorHAnsi"/>
                <w:sz w:val="20"/>
                <w:szCs w:val="20"/>
              </w:rPr>
            </w:pPr>
          </w:p>
          <w:p w14:paraId="1AB5C9C4" w14:textId="205A43B6" w:rsidR="00306E53" w:rsidRPr="001941B0" w:rsidRDefault="00306E53" w:rsidP="00941AC0">
            <w:pPr>
              <w:autoSpaceDE w:val="0"/>
              <w:autoSpaceDN w:val="0"/>
              <w:adjustRightInd w:val="0"/>
              <w:spacing w:after="0" w:line="240" w:lineRule="auto"/>
              <w:rPr>
                <w:rFonts w:cstheme="minorHAnsi"/>
                <w:sz w:val="20"/>
                <w:szCs w:val="20"/>
              </w:rPr>
            </w:pPr>
          </w:p>
        </w:tc>
      </w:tr>
      <w:tr w:rsidR="00FC7212" w:rsidRPr="001941B0" w14:paraId="7B7EE258" w14:textId="77777777" w:rsidTr="7139DBB9">
        <w:trPr>
          <w:trHeight w:val="300"/>
        </w:trPr>
        <w:tc>
          <w:tcPr>
            <w:tcW w:w="1125" w:type="dxa"/>
            <w:shd w:val="clear" w:color="auto" w:fill="FFFFFF" w:themeFill="background1"/>
          </w:tcPr>
          <w:p w14:paraId="5CE43961" w14:textId="3D36E1B8"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0F32A96" w14:textId="3035D1AF" w:rsidR="00306E53" w:rsidRPr="001941B0" w:rsidRDefault="00306E53" w:rsidP="006E0CB2">
            <w:pPr>
              <w:spacing w:after="0" w:line="240" w:lineRule="auto"/>
              <w:rPr>
                <w:rFonts w:cs="Calibri"/>
                <w:sz w:val="20"/>
                <w:szCs w:val="20"/>
              </w:rPr>
            </w:pPr>
            <w:r w:rsidRPr="001941B0">
              <w:rPr>
                <w:rFonts w:cs="Calibri"/>
                <w:sz w:val="20"/>
                <w:szCs w:val="20"/>
              </w:rPr>
              <w:t>Polskie Lekarskie Towarzystwo Radiologiczne</w:t>
            </w:r>
          </w:p>
        </w:tc>
        <w:tc>
          <w:tcPr>
            <w:tcW w:w="1949" w:type="dxa"/>
            <w:shd w:val="clear" w:color="auto" w:fill="FFFFFF" w:themeFill="background1"/>
          </w:tcPr>
          <w:p w14:paraId="3AA829F0" w14:textId="4898315D"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Art 5 pkt 17 (PUI)</w:t>
            </w:r>
          </w:p>
          <w:p w14:paraId="03D85658" w14:textId="72F20E88" w:rsidR="00D61435" w:rsidRPr="001941B0" w:rsidRDefault="00D61435" w:rsidP="006E0CB2">
            <w:pPr>
              <w:spacing w:after="0" w:line="240" w:lineRule="auto"/>
              <w:rPr>
                <w:rFonts w:eastAsiaTheme="minorEastAsia"/>
                <w:sz w:val="20"/>
                <w:szCs w:val="20"/>
              </w:rPr>
            </w:pPr>
          </w:p>
          <w:p w14:paraId="2B41DD0E" w14:textId="69F5E617" w:rsidR="00306E53" w:rsidRPr="001941B0" w:rsidRDefault="00306E53" w:rsidP="006E0CB2">
            <w:pPr>
              <w:spacing w:after="0" w:line="240" w:lineRule="auto"/>
              <w:rPr>
                <w:rFonts w:eastAsiaTheme="minorEastAsia"/>
                <w:sz w:val="20"/>
                <w:szCs w:val="20"/>
              </w:rPr>
            </w:pPr>
          </w:p>
        </w:tc>
        <w:tc>
          <w:tcPr>
            <w:tcW w:w="5652" w:type="dxa"/>
            <w:shd w:val="clear" w:color="auto" w:fill="FFFFFF" w:themeFill="background1"/>
          </w:tcPr>
          <w:p w14:paraId="03C3EC64" w14:textId="182AA932" w:rsidR="00306E53" w:rsidRPr="001941B0" w:rsidRDefault="00306E53" w:rsidP="006E0CB2">
            <w:pPr>
              <w:pStyle w:val="Akapitzlist"/>
              <w:spacing w:after="0" w:line="240" w:lineRule="auto"/>
              <w:ind w:left="360"/>
              <w:jc w:val="both"/>
              <w:rPr>
                <w:rFonts w:eastAsiaTheme="minorEastAsia"/>
                <w:b/>
                <w:sz w:val="20"/>
                <w:szCs w:val="20"/>
              </w:rPr>
            </w:pPr>
            <w:r w:rsidRPr="001941B0">
              <w:rPr>
                <w:rFonts w:eastAsiaTheme="minorEastAsia"/>
                <w:b/>
                <w:sz w:val="20"/>
                <w:szCs w:val="20"/>
              </w:rPr>
              <w:t>Zakres regulacji odnoszących się do zasad funkcjonowania Platformy Usług Inteligentnych</w:t>
            </w:r>
          </w:p>
          <w:p w14:paraId="533C4727" w14:textId="7FF5AD8B" w:rsidR="00306E53" w:rsidRPr="001941B0" w:rsidRDefault="00306E53" w:rsidP="006E0CB2">
            <w:pPr>
              <w:spacing w:after="0" w:line="240" w:lineRule="auto"/>
              <w:ind w:firstLine="708"/>
              <w:jc w:val="both"/>
              <w:rPr>
                <w:rFonts w:eastAsiaTheme="minorEastAsia"/>
                <w:sz w:val="20"/>
                <w:szCs w:val="20"/>
              </w:rPr>
            </w:pPr>
            <w:r w:rsidRPr="001941B0">
              <w:rPr>
                <w:rFonts w:eastAsiaTheme="minorEastAsia"/>
                <w:sz w:val="20"/>
                <w:szCs w:val="20"/>
              </w:rPr>
              <w:t xml:space="preserve">Dostęp do certyfikowanych narzędzi na PUI obejmuje wyroby medyczne wspomagające dokonywanie diagnostyki medycznej z wykorzystaniem systemów AI </w:t>
            </w:r>
            <w:r w:rsidRPr="001941B0">
              <w:rPr>
                <w:sz w:val="20"/>
                <w:szCs w:val="20"/>
              </w:rPr>
              <w:br/>
            </w:r>
            <w:r w:rsidRPr="001941B0">
              <w:rPr>
                <w:rFonts w:eastAsiaTheme="minorEastAsia"/>
                <w:sz w:val="20"/>
                <w:szCs w:val="20"/>
              </w:rPr>
              <w:t>w obszarze:</w:t>
            </w:r>
          </w:p>
          <w:p w14:paraId="70FDB9C6" w14:textId="0029CE64" w:rsidR="00306E53" w:rsidRPr="001941B0" w:rsidRDefault="00E913A2" w:rsidP="00E913A2">
            <w:pPr>
              <w:spacing w:after="0" w:line="240" w:lineRule="auto"/>
              <w:jc w:val="both"/>
              <w:rPr>
                <w:rFonts w:eastAsiaTheme="minorEastAsia"/>
                <w:sz w:val="20"/>
                <w:szCs w:val="20"/>
              </w:rPr>
            </w:pPr>
            <w:r w:rsidRPr="001941B0">
              <w:rPr>
                <w:rFonts w:eastAsiaTheme="minorEastAsia"/>
                <w:sz w:val="20"/>
                <w:szCs w:val="20"/>
              </w:rPr>
              <w:t xml:space="preserve">1) </w:t>
            </w:r>
            <w:r w:rsidR="00306E53" w:rsidRPr="001941B0">
              <w:rPr>
                <w:rFonts w:eastAsiaTheme="minorEastAsia"/>
                <w:sz w:val="20"/>
                <w:szCs w:val="20"/>
              </w:rPr>
              <w:t xml:space="preserve">Wykrywania patologii w Tomografii Komputerowej klatki piersiowej, </w:t>
            </w:r>
          </w:p>
          <w:p w14:paraId="360A62B1" w14:textId="1313B014" w:rsidR="00306E53" w:rsidRPr="001941B0" w:rsidRDefault="00E913A2" w:rsidP="00E913A2">
            <w:pPr>
              <w:spacing w:after="0" w:line="240" w:lineRule="auto"/>
              <w:jc w:val="both"/>
              <w:rPr>
                <w:rFonts w:eastAsiaTheme="minorEastAsia"/>
                <w:sz w:val="20"/>
                <w:szCs w:val="20"/>
              </w:rPr>
            </w:pPr>
            <w:r w:rsidRPr="001941B0">
              <w:rPr>
                <w:rFonts w:eastAsiaTheme="minorEastAsia"/>
                <w:sz w:val="20"/>
                <w:szCs w:val="20"/>
              </w:rPr>
              <w:t xml:space="preserve">2) </w:t>
            </w:r>
            <w:r w:rsidR="00306E53" w:rsidRPr="001941B0">
              <w:rPr>
                <w:rFonts w:eastAsiaTheme="minorEastAsia"/>
                <w:sz w:val="20"/>
                <w:szCs w:val="20"/>
              </w:rPr>
              <w:t xml:space="preserve">Wykrywania zmian niedokrwiennych i krwotocznych w badaniach obrazowych mózgu, </w:t>
            </w:r>
          </w:p>
          <w:p w14:paraId="5C9CCB86" w14:textId="7A5E5D26" w:rsidR="00306E53" w:rsidRPr="001941B0" w:rsidRDefault="00576C80" w:rsidP="00576C80">
            <w:pPr>
              <w:spacing w:after="0" w:line="240" w:lineRule="auto"/>
              <w:jc w:val="both"/>
              <w:rPr>
                <w:rFonts w:eastAsiaTheme="minorEastAsia"/>
                <w:sz w:val="20"/>
                <w:szCs w:val="20"/>
              </w:rPr>
            </w:pPr>
            <w:r w:rsidRPr="001941B0">
              <w:rPr>
                <w:rFonts w:eastAsiaTheme="minorEastAsia"/>
                <w:sz w:val="20"/>
                <w:szCs w:val="20"/>
              </w:rPr>
              <w:t xml:space="preserve">3) </w:t>
            </w:r>
            <w:r w:rsidR="00306E53" w:rsidRPr="001941B0">
              <w:rPr>
                <w:rFonts w:eastAsiaTheme="minorEastAsia"/>
                <w:sz w:val="20"/>
                <w:szCs w:val="20"/>
              </w:rPr>
              <w:t xml:space="preserve">Diagnostyki zmian pourazowych układu kostnego w badaniach radiologii klasycznej (RTG), </w:t>
            </w:r>
          </w:p>
          <w:p w14:paraId="600516FB" w14:textId="7913247E" w:rsidR="00306E53" w:rsidRPr="001941B0" w:rsidRDefault="00576C80" w:rsidP="00576C80">
            <w:pPr>
              <w:spacing w:after="0" w:line="240" w:lineRule="auto"/>
              <w:jc w:val="both"/>
              <w:rPr>
                <w:rFonts w:eastAsiaTheme="minorEastAsia"/>
                <w:sz w:val="20"/>
                <w:szCs w:val="20"/>
              </w:rPr>
            </w:pPr>
            <w:r w:rsidRPr="001941B0">
              <w:rPr>
                <w:rFonts w:eastAsiaTheme="minorEastAsia"/>
                <w:sz w:val="20"/>
                <w:szCs w:val="20"/>
              </w:rPr>
              <w:t xml:space="preserve">4) </w:t>
            </w:r>
            <w:r w:rsidR="00306E53" w:rsidRPr="001941B0">
              <w:rPr>
                <w:rFonts w:eastAsiaTheme="minorEastAsia"/>
                <w:sz w:val="20"/>
                <w:szCs w:val="20"/>
              </w:rPr>
              <w:t xml:space="preserve">Wykrywania zmian nowotworowych piersi (Mammografia), </w:t>
            </w:r>
          </w:p>
          <w:p w14:paraId="5C1FABF7" w14:textId="18293C2F" w:rsidR="00306E53" w:rsidRPr="001941B0" w:rsidRDefault="00576C80" w:rsidP="00576C80">
            <w:pPr>
              <w:spacing w:after="0" w:line="240" w:lineRule="auto"/>
              <w:jc w:val="both"/>
              <w:rPr>
                <w:rFonts w:eastAsiaTheme="minorEastAsia"/>
                <w:sz w:val="20"/>
                <w:szCs w:val="20"/>
              </w:rPr>
            </w:pPr>
            <w:r w:rsidRPr="001941B0">
              <w:rPr>
                <w:rFonts w:eastAsiaTheme="minorEastAsia"/>
                <w:sz w:val="20"/>
                <w:szCs w:val="20"/>
              </w:rPr>
              <w:t xml:space="preserve">5) </w:t>
            </w:r>
            <w:r w:rsidR="00306E53" w:rsidRPr="001941B0">
              <w:rPr>
                <w:rFonts w:eastAsiaTheme="minorEastAsia"/>
                <w:sz w:val="20"/>
                <w:szCs w:val="20"/>
              </w:rPr>
              <w:t xml:space="preserve">Wykrywania zmian patologicznych w RTG klatki piersiowej. </w:t>
            </w:r>
          </w:p>
          <w:p w14:paraId="3334C631" w14:textId="22C87FA9" w:rsidR="00306E53" w:rsidRPr="001941B0" w:rsidRDefault="00306E53" w:rsidP="006E0CB2">
            <w:pPr>
              <w:spacing w:after="0" w:line="240" w:lineRule="auto"/>
              <w:ind w:left="720"/>
              <w:jc w:val="both"/>
              <w:rPr>
                <w:rFonts w:eastAsiaTheme="minorEastAsia"/>
                <w:sz w:val="20"/>
                <w:szCs w:val="20"/>
              </w:rPr>
            </w:pPr>
            <w:r w:rsidRPr="001941B0">
              <w:rPr>
                <w:rFonts w:eastAsiaTheme="minorEastAsia"/>
                <w:sz w:val="20"/>
                <w:szCs w:val="20"/>
              </w:rPr>
              <w:t xml:space="preserve"> </w:t>
            </w:r>
          </w:p>
          <w:p w14:paraId="67AC083D" w14:textId="120D2155" w:rsidR="00306E53" w:rsidRPr="001941B0" w:rsidRDefault="00306E53" w:rsidP="006E0CB2">
            <w:pPr>
              <w:spacing w:after="0" w:line="240" w:lineRule="auto"/>
              <w:ind w:firstLine="708"/>
              <w:jc w:val="both"/>
              <w:rPr>
                <w:rFonts w:eastAsiaTheme="minorEastAsia"/>
                <w:color w:val="000000" w:themeColor="text1"/>
                <w:sz w:val="20"/>
                <w:szCs w:val="20"/>
              </w:rPr>
            </w:pPr>
            <w:r w:rsidRPr="001941B0">
              <w:rPr>
                <w:rFonts w:eastAsiaTheme="minorEastAsia"/>
                <w:color w:val="000000" w:themeColor="text1"/>
                <w:sz w:val="20"/>
                <w:szCs w:val="20"/>
              </w:rPr>
              <w:t xml:space="preserve">Koniecznym jest wskazanie, że projekt u.e.z. odwołuje się do „certyfikowanych narzędzi”, niemniej nie określa: kto i według jakich kryteriów dokonuje certyfikacji, czy wymagana jest walidacja na populacji krajowej oraz czy dopuszczalne jest </w:t>
            </w:r>
            <w:r w:rsidRPr="001941B0">
              <w:rPr>
                <w:rFonts w:eastAsiaTheme="minorEastAsia"/>
                <w:color w:val="000000" w:themeColor="text1"/>
                <w:sz w:val="20"/>
                <w:szCs w:val="20"/>
              </w:rPr>
              <w:lastRenderedPageBreak/>
              <w:t>samo uczenie się systemu AI. Powyższe rozwiązanie stawia pod znakiem zapytania zarówno jakość certyfikowanych narzędzi, jak i poziom bezpieczeństwa pacjenta.</w:t>
            </w:r>
          </w:p>
          <w:p w14:paraId="340F0556" w14:textId="29BB8C0D" w:rsidR="00306E53" w:rsidRPr="001941B0" w:rsidRDefault="00306E53" w:rsidP="006E0CB2">
            <w:pPr>
              <w:spacing w:after="0" w:line="240" w:lineRule="auto"/>
              <w:ind w:firstLine="708"/>
              <w:jc w:val="both"/>
              <w:rPr>
                <w:rFonts w:eastAsiaTheme="minorEastAsia"/>
                <w:sz w:val="20"/>
                <w:szCs w:val="20"/>
              </w:rPr>
            </w:pPr>
            <w:r w:rsidRPr="001941B0">
              <w:rPr>
                <w:rFonts w:eastAsiaTheme="minorEastAsia"/>
                <w:sz w:val="20"/>
                <w:szCs w:val="20"/>
              </w:rPr>
              <w:t xml:space="preserve">Na szczególną uwagę zasługuje propozycja automatyzacji wyniku utworzonego w oparciu o przekazane badania obrazowe. Dokonując literalnej wykładni przepisów zawartych </w:t>
            </w:r>
            <w:r w:rsidRPr="001941B0">
              <w:rPr>
                <w:sz w:val="20"/>
                <w:szCs w:val="20"/>
              </w:rPr>
              <w:br/>
            </w:r>
            <w:r w:rsidRPr="001941B0">
              <w:rPr>
                <w:rFonts w:eastAsiaTheme="minorEastAsia"/>
                <w:sz w:val="20"/>
                <w:szCs w:val="20"/>
              </w:rPr>
              <w:t>w projekcie u.e.z., należy przyjąć, że wynik badania obrazowego będzie stanowił rezultat interpretacji dokonanej przez „algorytm” AI, w zakresie wykrywania zmian chorobowych, bez jednoczesnego wskazania mechanizmów działania algorytmu</w:t>
            </w:r>
            <w:r w:rsidRPr="001941B0">
              <w:rPr>
                <w:rFonts w:eastAsiaTheme="minorEastAsia"/>
                <w:color w:val="000000" w:themeColor="text1"/>
                <w:sz w:val="20"/>
                <w:szCs w:val="20"/>
              </w:rPr>
              <w:t>. System weryfikacji i nadzoru nad działaniem PUI, ma funkcjonować w oparciu o porównywanie wyników generowanych przez system AI z opisami badań wykonanymi przez lekarzy, a także analizę zgodności wyników oraz identyfikację odchyleń mogących świadczyć o nieprawidłowym działaniu systemu. W projekcie u.e.z, nie wskazano prawnych podstaw funkcjonowania procedury weryfikacji i nadzoru, jak również zasad identyfikacji odchyleń stanowiących o błędnym działaniu systemu wspomagającego</w:t>
            </w:r>
          </w:p>
          <w:p w14:paraId="7748667C" w14:textId="3447F76D" w:rsidR="00306E53" w:rsidRPr="001941B0" w:rsidRDefault="00306E53" w:rsidP="006E0CB2">
            <w:pPr>
              <w:spacing w:after="0" w:line="240" w:lineRule="auto"/>
              <w:rPr>
                <w:rFonts w:eastAsiaTheme="minorEastAsia"/>
                <w:sz w:val="20"/>
                <w:szCs w:val="20"/>
              </w:rPr>
            </w:pPr>
          </w:p>
        </w:tc>
        <w:tc>
          <w:tcPr>
            <w:tcW w:w="2855" w:type="dxa"/>
            <w:shd w:val="clear" w:color="auto" w:fill="FFFFFF" w:themeFill="background1"/>
          </w:tcPr>
          <w:p w14:paraId="1357CA96" w14:textId="77777777" w:rsidR="00306E53" w:rsidRPr="001941B0" w:rsidRDefault="00740F9B" w:rsidP="006E0CB2">
            <w:pPr>
              <w:spacing w:after="0" w:line="240" w:lineRule="auto"/>
              <w:rPr>
                <w:b/>
                <w:sz w:val="20"/>
                <w:szCs w:val="20"/>
              </w:rPr>
            </w:pPr>
            <w:r w:rsidRPr="001941B0">
              <w:rPr>
                <w:b/>
                <w:sz w:val="20"/>
                <w:szCs w:val="20"/>
              </w:rPr>
              <w:lastRenderedPageBreak/>
              <w:t>Uwaga nieuwzględniona</w:t>
            </w:r>
          </w:p>
          <w:p w14:paraId="5FA1F629" w14:textId="04590E66" w:rsidR="00740F9B" w:rsidRPr="001941B0" w:rsidRDefault="005B74DC" w:rsidP="006E0CB2">
            <w:pPr>
              <w:spacing w:after="0" w:line="240" w:lineRule="auto"/>
              <w:rPr>
                <w:sz w:val="20"/>
                <w:szCs w:val="20"/>
              </w:rPr>
            </w:pPr>
            <w:r w:rsidRPr="001941B0">
              <w:rPr>
                <w:sz w:val="20"/>
                <w:szCs w:val="20"/>
              </w:rPr>
              <w:t xml:space="preserve">Poza zakresem projektowanej regulacji. </w:t>
            </w:r>
            <w:r w:rsidR="00740F9B" w:rsidRPr="001941B0">
              <w:rPr>
                <w:sz w:val="20"/>
                <w:szCs w:val="20"/>
              </w:rPr>
              <w:t>Kwestie te wynikają z odrębnych przepisów</w:t>
            </w:r>
            <w:r w:rsidRPr="001941B0">
              <w:rPr>
                <w:sz w:val="20"/>
                <w:szCs w:val="20"/>
              </w:rPr>
              <w:t xml:space="preserve"> prawnych</w:t>
            </w:r>
            <w:r w:rsidR="00095B65" w:rsidRPr="001941B0">
              <w:rPr>
                <w:sz w:val="20"/>
                <w:szCs w:val="20"/>
              </w:rPr>
              <w:t>.</w:t>
            </w:r>
          </w:p>
          <w:p w14:paraId="7B55A0E3" w14:textId="77777777" w:rsidR="0083273A" w:rsidRPr="001941B0" w:rsidRDefault="0083273A" w:rsidP="006E0CB2">
            <w:pPr>
              <w:spacing w:after="0" w:line="240" w:lineRule="auto"/>
              <w:rPr>
                <w:sz w:val="20"/>
                <w:szCs w:val="20"/>
              </w:rPr>
            </w:pPr>
          </w:p>
          <w:p w14:paraId="731FF030" w14:textId="049670DD" w:rsidR="00A46B02" w:rsidRPr="001941B0" w:rsidRDefault="00E27C96" w:rsidP="006E0CB2">
            <w:pPr>
              <w:spacing w:after="0" w:line="240" w:lineRule="auto"/>
              <w:rPr>
                <w:sz w:val="20"/>
                <w:szCs w:val="20"/>
              </w:rPr>
            </w:pPr>
            <w:r w:rsidRPr="001941B0">
              <w:rPr>
                <w:sz w:val="20"/>
                <w:szCs w:val="20"/>
              </w:rPr>
              <w:t xml:space="preserve">Analiza </w:t>
            </w:r>
            <w:r w:rsidR="00E87BE3" w:rsidRPr="001941B0">
              <w:rPr>
                <w:sz w:val="20"/>
                <w:szCs w:val="20"/>
              </w:rPr>
              <w:t xml:space="preserve">wyników badań wykonywana przez AI </w:t>
            </w:r>
            <w:r w:rsidR="00CC75FD" w:rsidRPr="001941B0">
              <w:rPr>
                <w:sz w:val="20"/>
                <w:szCs w:val="20"/>
              </w:rPr>
              <w:t>stanowi pomocnicze narzędzie dla l</w:t>
            </w:r>
            <w:r w:rsidR="00A46B02" w:rsidRPr="001941B0">
              <w:rPr>
                <w:sz w:val="20"/>
                <w:szCs w:val="20"/>
              </w:rPr>
              <w:t>ekarz</w:t>
            </w:r>
            <w:r w:rsidR="004E5BF1" w:rsidRPr="001941B0">
              <w:rPr>
                <w:sz w:val="20"/>
                <w:szCs w:val="20"/>
              </w:rPr>
              <w:t>a</w:t>
            </w:r>
            <w:r w:rsidR="00CC75FD" w:rsidRPr="001941B0">
              <w:rPr>
                <w:sz w:val="20"/>
                <w:szCs w:val="20"/>
              </w:rPr>
              <w:t xml:space="preserve">. </w:t>
            </w:r>
            <w:r w:rsidR="00A46B02" w:rsidRPr="001941B0">
              <w:rPr>
                <w:sz w:val="20"/>
                <w:szCs w:val="20"/>
              </w:rPr>
              <w:t>Lekarz jest odpowiedzialny za interpretację i odbiór wyniku</w:t>
            </w:r>
            <w:r w:rsidR="00FC4EBB" w:rsidRPr="001941B0">
              <w:rPr>
                <w:sz w:val="20"/>
                <w:szCs w:val="20"/>
              </w:rPr>
              <w:t xml:space="preserve"> oraz p</w:t>
            </w:r>
            <w:r w:rsidR="004E5BF1" w:rsidRPr="001941B0">
              <w:rPr>
                <w:sz w:val="20"/>
                <w:szCs w:val="20"/>
              </w:rPr>
              <w:t>rzygotowanie opisu badania, który podpisuje</w:t>
            </w:r>
            <w:r w:rsidR="00A46B02" w:rsidRPr="001941B0">
              <w:rPr>
                <w:sz w:val="20"/>
                <w:szCs w:val="20"/>
              </w:rPr>
              <w:t>.</w:t>
            </w:r>
          </w:p>
          <w:p w14:paraId="5637D648" w14:textId="12CEB2F2" w:rsidR="00306E53" w:rsidRPr="001941B0" w:rsidRDefault="00306E53" w:rsidP="0083273A">
            <w:pPr>
              <w:autoSpaceDE w:val="0"/>
              <w:autoSpaceDN w:val="0"/>
              <w:adjustRightInd w:val="0"/>
              <w:spacing w:after="0" w:line="240" w:lineRule="auto"/>
              <w:rPr>
                <w:rFonts w:cstheme="minorHAnsi"/>
                <w:sz w:val="20"/>
                <w:szCs w:val="20"/>
              </w:rPr>
            </w:pPr>
          </w:p>
        </w:tc>
      </w:tr>
      <w:tr w:rsidR="00FC7212" w:rsidRPr="001941B0" w14:paraId="780B3293" w14:textId="77777777" w:rsidTr="7139DBB9">
        <w:tc>
          <w:tcPr>
            <w:tcW w:w="1125" w:type="dxa"/>
            <w:shd w:val="clear" w:color="auto" w:fill="FFFFFF" w:themeFill="background1"/>
          </w:tcPr>
          <w:p w14:paraId="27BAAFC2"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7CC5A90" w14:textId="3035D1AF" w:rsidR="00306E53" w:rsidRPr="001941B0" w:rsidRDefault="00306E53" w:rsidP="006E0CB2">
            <w:pPr>
              <w:spacing w:after="0" w:line="240" w:lineRule="auto"/>
              <w:rPr>
                <w:rFonts w:cs="Calibri"/>
                <w:sz w:val="20"/>
                <w:szCs w:val="20"/>
              </w:rPr>
            </w:pPr>
            <w:r w:rsidRPr="001941B0">
              <w:rPr>
                <w:rFonts w:cs="Calibri"/>
                <w:sz w:val="20"/>
                <w:szCs w:val="20"/>
              </w:rPr>
              <w:t>Polskie Lekarskie Towarzystwo Radiologiczne</w:t>
            </w:r>
          </w:p>
        </w:tc>
        <w:tc>
          <w:tcPr>
            <w:tcW w:w="1949" w:type="dxa"/>
            <w:shd w:val="clear" w:color="auto" w:fill="FFFFFF" w:themeFill="background1"/>
          </w:tcPr>
          <w:p w14:paraId="3288CAE0" w14:textId="0DFAD24E"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Art 5 pkt 17 (PUI)</w:t>
            </w:r>
          </w:p>
          <w:p w14:paraId="4022DFBB" w14:textId="208BD179" w:rsidR="00D61435" w:rsidRPr="001941B0" w:rsidRDefault="00D61435" w:rsidP="006E0CB2">
            <w:pPr>
              <w:spacing w:after="0" w:line="240" w:lineRule="auto"/>
              <w:rPr>
                <w:rFonts w:eastAsiaTheme="minorEastAsia"/>
                <w:sz w:val="20"/>
                <w:szCs w:val="20"/>
              </w:rPr>
            </w:pPr>
          </w:p>
          <w:p w14:paraId="41ED4B1D" w14:textId="1988EDC1" w:rsidR="00306E53" w:rsidRPr="001941B0" w:rsidRDefault="00306E53" w:rsidP="006E0CB2">
            <w:pPr>
              <w:spacing w:after="0" w:line="240" w:lineRule="auto"/>
              <w:rPr>
                <w:rFonts w:eastAsiaTheme="minorEastAsia"/>
                <w:sz w:val="20"/>
                <w:szCs w:val="20"/>
              </w:rPr>
            </w:pPr>
          </w:p>
        </w:tc>
        <w:tc>
          <w:tcPr>
            <w:tcW w:w="5652" w:type="dxa"/>
            <w:shd w:val="clear" w:color="auto" w:fill="FFFFFF" w:themeFill="background1"/>
          </w:tcPr>
          <w:p w14:paraId="13DF85F0" w14:textId="45737AFF" w:rsidR="00306E53" w:rsidRPr="001941B0" w:rsidRDefault="00306E53" w:rsidP="006E0CB2">
            <w:pPr>
              <w:autoSpaceDE w:val="0"/>
              <w:autoSpaceDN w:val="0"/>
              <w:adjustRightInd w:val="0"/>
              <w:spacing w:after="0" w:line="240" w:lineRule="auto"/>
              <w:jc w:val="both"/>
              <w:rPr>
                <w:rFonts w:eastAsiaTheme="minorEastAsia"/>
                <w:b/>
                <w:sz w:val="20"/>
                <w:szCs w:val="20"/>
              </w:rPr>
            </w:pPr>
            <w:r w:rsidRPr="001941B0">
              <w:rPr>
                <w:rFonts w:eastAsiaTheme="minorEastAsia"/>
                <w:b/>
                <w:sz w:val="20"/>
                <w:szCs w:val="20"/>
              </w:rPr>
              <w:t>Ocena przepisów projektu u.e.z., odnoszących się do zasad działania PUI, w obszarze korzystania przez lekarzy radiologów i elektroradiologów z automatyzacji wyniku badań obrazowych generowanych w oparciu o interpretację systemów AI</w:t>
            </w:r>
          </w:p>
          <w:p w14:paraId="69224B47" w14:textId="169A1694" w:rsidR="00306E53" w:rsidRPr="001941B0" w:rsidRDefault="00306E53" w:rsidP="006E0CB2">
            <w:pPr>
              <w:autoSpaceDE w:val="0"/>
              <w:autoSpaceDN w:val="0"/>
              <w:adjustRightInd w:val="0"/>
              <w:spacing w:after="0" w:line="240" w:lineRule="auto"/>
              <w:jc w:val="both"/>
              <w:rPr>
                <w:rFonts w:eastAsiaTheme="minorEastAsia"/>
                <w:sz w:val="20"/>
                <w:szCs w:val="20"/>
              </w:rPr>
            </w:pPr>
            <w:r w:rsidRPr="001941B0">
              <w:rPr>
                <w:rFonts w:eastAsiaTheme="minorEastAsia"/>
                <w:sz w:val="20"/>
                <w:szCs w:val="20"/>
              </w:rPr>
              <w:t xml:space="preserve">Jak wynika z literalnego brzmienia cytowanych wyżej przepisów, PUI jest systemem teleinformatycznym, który dzięki zawartym w nim narzędziom, wspomaga prowadzenie diagnostyki szpitalnej, poprzez wykorzystanie systemów AI. Koniecznym jest wskazanie, że wykorzystywanie narzędzi teleinformatycznych i innych systemów łączności w procesie udzielania świadczeń zdrowotnych jest w pełni zgodne z obowiązującymi przepisami prawa. </w:t>
            </w:r>
          </w:p>
          <w:p w14:paraId="7FDBE855" w14:textId="56D3EC27" w:rsidR="00306E53" w:rsidRPr="001941B0" w:rsidRDefault="00306E53" w:rsidP="006E0CB2">
            <w:pPr>
              <w:autoSpaceDE w:val="0"/>
              <w:autoSpaceDN w:val="0"/>
              <w:adjustRightInd w:val="0"/>
              <w:spacing w:after="0" w:line="240" w:lineRule="auto"/>
              <w:jc w:val="both"/>
              <w:rPr>
                <w:rFonts w:eastAsiaTheme="minorEastAsia"/>
                <w:color w:val="333333"/>
                <w:sz w:val="20"/>
                <w:szCs w:val="20"/>
              </w:rPr>
            </w:pPr>
            <w:r w:rsidRPr="001941B0">
              <w:rPr>
                <w:rFonts w:eastAsiaTheme="minorEastAsia"/>
                <w:sz w:val="20"/>
                <w:szCs w:val="20"/>
              </w:rPr>
              <w:t>Przed wejściem w życie nowelizacji ustawy o zawodach lekarza i lekarza dentysty</w:t>
            </w:r>
            <w:r w:rsidRPr="001941B0">
              <w:rPr>
                <w:rFonts w:eastAsiaTheme="minorEastAsia"/>
                <w:sz w:val="20"/>
                <w:szCs w:val="20"/>
                <w:vertAlign w:val="superscript"/>
              </w:rPr>
              <w:t xml:space="preserve"> </w:t>
            </w:r>
            <w:r w:rsidRPr="001941B0">
              <w:rPr>
                <w:rFonts w:eastAsiaTheme="minorEastAsia"/>
                <w:sz w:val="20"/>
                <w:szCs w:val="20"/>
              </w:rPr>
              <w:t>i ustawy o działalności leczniczej</w:t>
            </w:r>
            <w:r w:rsidR="00ED4947" w:rsidRPr="001941B0">
              <w:rPr>
                <w:rFonts w:eastAsiaTheme="minorEastAsia"/>
                <w:sz w:val="20"/>
                <w:szCs w:val="20"/>
              </w:rPr>
              <w:t>,</w:t>
            </w:r>
            <w:r w:rsidRPr="001941B0">
              <w:rPr>
                <w:rFonts w:eastAsiaTheme="minorEastAsia"/>
                <w:i/>
                <w:color w:val="0F4761" w:themeColor="accent1" w:themeShade="BF"/>
                <w:sz w:val="20"/>
                <w:szCs w:val="20"/>
                <w:vertAlign w:val="superscript"/>
              </w:rPr>
              <w:t xml:space="preserve"> </w:t>
            </w:r>
            <w:r w:rsidRPr="001941B0">
              <w:rPr>
                <w:rFonts w:eastAsiaTheme="minorEastAsia"/>
                <w:sz w:val="20"/>
                <w:szCs w:val="20"/>
              </w:rPr>
              <w:t xml:space="preserve">przepisy prawa dopuszczały posługiwanie się narzędziami </w:t>
            </w:r>
            <w:r w:rsidRPr="001941B0">
              <w:rPr>
                <w:rFonts w:eastAsiaTheme="minorEastAsia"/>
                <w:sz w:val="20"/>
                <w:szCs w:val="20"/>
              </w:rPr>
              <w:lastRenderedPageBreak/>
              <w:t xml:space="preserve">teleinformatycznymi w celu realizacji świadczeń zdrowotnych jedynie w sposób pośredni, tj. nie dopuszczając ich używania wprost, a jedynie nie zakazując ich wykorzystywania w ściśle określonych sytuacjach. Obecnie, zgodnie z art. 4 pkt 1 i art. 14 pkt 1 a-b Ustawy o zmianie ustawy o systemie informacji w ochronie zdrowia oraz niektórych innych ustaw z dnia 9.10.2015 r., DzU 2015 r., poz. 1991 ( wprowadzono zmiany, dodając ust. 4 w </w:t>
            </w:r>
            <w:hyperlink r:id="rId18" w:anchor="/document/16798282/2015-12-11?unitId=art(2)">
              <w:r w:rsidRPr="001941B0">
                <w:rPr>
                  <w:rStyle w:val="Hipercze"/>
                  <w:rFonts w:eastAsiaTheme="minorEastAsia"/>
                  <w:color w:val="000000" w:themeColor="text1"/>
                  <w:sz w:val="20"/>
                  <w:szCs w:val="20"/>
                </w:rPr>
                <w:t>art. 2</w:t>
              </w:r>
            </w:hyperlink>
            <w:r w:rsidRPr="001941B0">
              <w:rPr>
                <w:rFonts w:eastAsiaTheme="minorEastAsia"/>
                <w:color w:val="333333"/>
                <w:sz w:val="20"/>
                <w:szCs w:val="20"/>
              </w:rPr>
              <w:t xml:space="preserve"> Ustawy o zawodach lekarza i lekarza dentysty, w brzmieniu: „Lekarz, lekarz dentysta może wykonywać czynności, o których mowa w ust. 1 i 2, także za pośrednictwem systemów teleinformatycznych lub systemów łączności.". </w:t>
            </w:r>
          </w:p>
          <w:p w14:paraId="6B6EE05D" w14:textId="237AABC4" w:rsidR="00306E53" w:rsidRPr="001941B0" w:rsidRDefault="00306E53" w:rsidP="006E0CB2">
            <w:pPr>
              <w:autoSpaceDE w:val="0"/>
              <w:autoSpaceDN w:val="0"/>
              <w:adjustRightInd w:val="0"/>
              <w:spacing w:after="0" w:line="240" w:lineRule="auto"/>
              <w:jc w:val="both"/>
              <w:rPr>
                <w:rFonts w:eastAsiaTheme="minorEastAsia"/>
                <w:color w:val="333333"/>
                <w:sz w:val="20"/>
                <w:szCs w:val="20"/>
              </w:rPr>
            </w:pPr>
            <w:r w:rsidRPr="001941B0">
              <w:rPr>
                <w:rFonts w:eastAsiaTheme="minorEastAsia"/>
                <w:color w:val="333333"/>
                <w:sz w:val="20"/>
                <w:szCs w:val="20"/>
              </w:rPr>
              <w:t>W ustawie o działalności leczniczej, art. 3 ust. 1 otrzymał brzmienie  „Działalność lecznicza polega na udzielaniu świadczeń zdrowotnych. Świadczenia te mogą być udzielane za pośrednictwem systemów teleinformatycznych lub systemów łączności." W art. 3 Ustawy o działalności leczniczej, po ust. 2 dodano ust. 2a w brzmieniu: „Czynności, o których mowa w ust. 2, mogą być wykonywane za pośrednictwem systemów teleinformatycznych lub systemów łączności."</w:t>
            </w:r>
          </w:p>
          <w:p w14:paraId="5D8DC003" w14:textId="3BA18FBE" w:rsidR="00306E53" w:rsidRPr="001941B0" w:rsidRDefault="00306E53" w:rsidP="006E0CB2">
            <w:pPr>
              <w:autoSpaceDE w:val="0"/>
              <w:autoSpaceDN w:val="0"/>
              <w:adjustRightInd w:val="0"/>
              <w:spacing w:after="0" w:line="240" w:lineRule="auto"/>
              <w:jc w:val="both"/>
              <w:rPr>
                <w:rFonts w:eastAsiaTheme="minorEastAsia"/>
                <w:color w:val="333333"/>
                <w:sz w:val="20"/>
                <w:szCs w:val="20"/>
              </w:rPr>
            </w:pPr>
            <w:r w:rsidRPr="001941B0">
              <w:rPr>
                <w:rFonts w:eastAsiaTheme="minorEastAsia"/>
                <w:sz w:val="20"/>
                <w:szCs w:val="20"/>
              </w:rPr>
              <w:t xml:space="preserve">W treści uzasadnienia do projektu u.e.z., wskazuje się, że podstawowym obowiązkiem lekarza jest wykonywanie zawodu </w:t>
            </w:r>
            <w:r w:rsidRPr="001941B0">
              <w:rPr>
                <w:rFonts w:eastAsiaTheme="minorEastAsia"/>
                <w:color w:val="333333"/>
                <w:sz w:val="20"/>
                <w:szCs w:val="20"/>
              </w:rPr>
              <w:t xml:space="preserve">zgodnie ze wskazaniami aktualnej wiedzy medycznej, dostępnymi metodami i środkami zapobiegania, rozpoznawania i leczenia chorób, zgodnie z zasadami etyki zawodowej oraz z należytą starannością (art. 4 Ustawy o zawodach lekarza i lekarza dentysty z 5.12.1996 r., tj. DzU 2026 r., poz. 37 – dalej: u.z.l.). </w:t>
            </w:r>
          </w:p>
          <w:p w14:paraId="20D08E41" w14:textId="62A6D987" w:rsidR="00306E53" w:rsidRPr="001941B0" w:rsidRDefault="00306E53" w:rsidP="006E0CB2">
            <w:pPr>
              <w:autoSpaceDE w:val="0"/>
              <w:autoSpaceDN w:val="0"/>
              <w:adjustRightInd w:val="0"/>
              <w:spacing w:after="0" w:line="240" w:lineRule="auto"/>
              <w:jc w:val="both"/>
              <w:rPr>
                <w:rFonts w:eastAsiaTheme="minorEastAsia"/>
                <w:sz w:val="20"/>
                <w:szCs w:val="20"/>
              </w:rPr>
            </w:pPr>
            <w:r w:rsidRPr="001941B0">
              <w:rPr>
                <w:rFonts w:eastAsiaTheme="minorEastAsia"/>
                <w:color w:val="333333"/>
                <w:sz w:val="20"/>
                <w:szCs w:val="20"/>
              </w:rPr>
              <w:t>Należy jednoznacznie wskazać, że wykonywanie zawodu lekarza polega na samodzielnym wykonywaniu czynności wchodzących w zakres świadczeń zdrowotnych w rozumieniu art. 2 ust. 1 pkt 10 Ustawy o działalności leczniczej z dnia 15.04.2011 r., tj. DzU 2025 r., poz. 450, ze zm. – dalej u.dz.l. – tj. działań służących</w:t>
            </w:r>
            <w:r w:rsidRPr="001941B0">
              <w:rPr>
                <w:rFonts w:eastAsiaTheme="minorEastAsia"/>
                <w:sz w:val="20"/>
                <w:szCs w:val="20"/>
              </w:rPr>
              <w:t xml:space="preserve"> zachowaniu, ratowaniu, przywracaniu lub poprawie zdrowia oraz innych działań medycznych wynikających z procesu leczenia lub przepisów odrębnych regulujących zasady ich wykonywania.</w:t>
            </w:r>
          </w:p>
        </w:tc>
        <w:tc>
          <w:tcPr>
            <w:tcW w:w="2855" w:type="dxa"/>
            <w:shd w:val="clear" w:color="auto" w:fill="FFFFFF" w:themeFill="background1"/>
          </w:tcPr>
          <w:p w14:paraId="53E61762" w14:textId="651E7B7A" w:rsidR="002D52D5" w:rsidRPr="001941B0" w:rsidRDefault="002D52D5"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71D56404" w14:textId="678A08DD" w:rsidR="00A44464" w:rsidRPr="001941B0" w:rsidRDefault="00C466E4" w:rsidP="006E0CB2">
            <w:pPr>
              <w:autoSpaceDE w:val="0"/>
              <w:autoSpaceDN w:val="0"/>
              <w:adjustRightInd w:val="0"/>
              <w:spacing w:after="0" w:line="240" w:lineRule="auto"/>
              <w:rPr>
                <w:rFonts w:cstheme="minorHAnsi"/>
                <w:sz w:val="20"/>
                <w:szCs w:val="20"/>
              </w:rPr>
            </w:pPr>
            <w:r w:rsidRPr="001941B0">
              <w:rPr>
                <w:rFonts w:cstheme="minorHAnsi"/>
                <w:sz w:val="20"/>
                <w:szCs w:val="20"/>
              </w:rPr>
              <w:t>Używanie AI mieści</w:t>
            </w:r>
            <w:r w:rsidR="003648FA" w:rsidRPr="001941B0">
              <w:rPr>
                <w:rFonts w:cstheme="minorHAnsi"/>
                <w:sz w:val="20"/>
                <w:szCs w:val="20"/>
              </w:rPr>
              <w:t xml:space="preserve"> się</w:t>
            </w:r>
            <w:r w:rsidRPr="001941B0">
              <w:rPr>
                <w:rFonts w:cstheme="minorHAnsi"/>
                <w:sz w:val="20"/>
                <w:szCs w:val="20"/>
              </w:rPr>
              <w:t xml:space="preserve"> w zakresie wykonywania z</w:t>
            </w:r>
            <w:r w:rsidR="005B74DC" w:rsidRPr="001941B0">
              <w:rPr>
                <w:rFonts w:cstheme="minorHAnsi"/>
                <w:sz w:val="20"/>
                <w:szCs w:val="20"/>
              </w:rPr>
              <w:t>a</w:t>
            </w:r>
            <w:r w:rsidRPr="001941B0">
              <w:rPr>
                <w:rFonts w:cstheme="minorHAnsi"/>
                <w:sz w:val="20"/>
                <w:szCs w:val="20"/>
              </w:rPr>
              <w:t>wodu lekarza</w:t>
            </w:r>
            <w:r w:rsidR="00A15EC5" w:rsidRPr="001941B0">
              <w:rPr>
                <w:rFonts w:cstheme="minorHAnsi"/>
                <w:sz w:val="20"/>
                <w:szCs w:val="20"/>
              </w:rPr>
              <w:t xml:space="preserve">, zgodnie z aktualną wiedzą </w:t>
            </w:r>
            <w:r w:rsidR="00EB0CCA" w:rsidRPr="001941B0">
              <w:rPr>
                <w:rFonts w:cstheme="minorHAnsi"/>
                <w:sz w:val="20"/>
                <w:szCs w:val="20"/>
              </w:rPr>
              <w:t>medyczną,</w:t>
            </w:r>
            <w:r w:rsidR="00A15EC5" w:rsidRPr="001941B0">
              <w:rPr>
                <w:rFonts w:cstheme="minorHAnsi"/>
                <w:sz w:val="20"/>
                <w:szCs w:val="20"/>
              </w:rPr>
              <w:t xml:space="preserve"> ale nie zwalnia</w:t>
            </w:r>
            <w:r w:rsidR="00EB0CCA" w:rsidRPr="001941B0">
              <w:rPr>
                <w:rFonts w:cstheme="minorHAnsi"/>
                <w:sz w:val="20"/>
                <w:szCs w:val="20"/>
              </w:rPr>
              <w:t xml:space="preserve"> go to z odpowiedzialności.</w:t>
            </w:r>
          </w:p>
          <w:p w14:paraId="380DAB64" w14:textId="77777777" w:rsidR="00C93FB9" w:rsidRPr="001941B0" w:rsidRDefault="00C93FB9" w:rsidP="006E0CB2">
            <w:pPr>
              <w:autoSpaceDE w:val="0"/>
              <w:autoSpaceDN w:val="0"/>
              <w:adjustRightInd w:val="0"/>
              <w:spacing w:after="0" w:line="240" w:lineRule="auto"/>
              <w:rPr>
                <w:rFonts w:cstheme="minorHAnsi"/>
                <w:sz w:val="20"/>
                <w:szCs w:val="20"/>
              </w:rPr>
            </w:pPr>
          </w:p>
          <w:p w14:paraId="7BEE1792" w14:textId="341FE4BE" w:rsidR="00306E53" w:rsidRPr="001941B0" w:rsidRDefault="00306E53" w:rsidP="006E0CB2">
            <w:pPr>
              <w:autoSpaceDE w:val="0"/>
              <w:autoSpaceDN w:val="0"/>
              <w:adjustRightInd w:val="0"/>
              <w:spacing w:after="0" w:line="240" w:lineRule="auto"/>
              <w:rPr>
                <w:rFonts w:cstheme="minorHAnsi"/>
                <w:sz w:val="20"/>
                <w:szCs w:val="20"/>
              </w:rPr>
            </w:pPr>
          </w:p>
        </w:tc>
      </w:tr>
      <w:tr w:rsidR="00FC7212" w:rsidRPr="001941B0" w14:paraId="5D8B1452" w14:textId="77777777" w:rsidTr="7139DBB9">
        <w:tc>
          <w:tcPr>
            <w:tcW w:w="1125" w:type="dxa"/>
            <w:shd w:val="clear" w:color="auto" w:fill="FFFFFF" w:themeFill="background1"/>
          </w:tcPr>
          <w:p w14:paraId="7C614438"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DD351EA" w14:textId="3035D1AF" w:rsidR="00306E53" w:rsidRPr="001941B0" w:rsidRDefault="00306E53" w:rsidP="006E0CB2">
            <w:pPr>
              <w:spacing w:after="0" w:line="240" w:lineRule="auto"/>
              <w:rPr>
                <w:rFonts w:cs="Calibri"/>
                <w:sz w:val="20"/>
                <w:szCs w:val="20"/>
              </w:rPr>
            </w:pPr>
            <w:r w:rsidRPr="001941B0">
              <w:rPr>
                <w:rFonts w:cs="Calibri"/>
                <w:sz w:val="20"/>
                <w:szCs w:val="20"/>
              </w:rPr>
              <w:t>Polskie Lekarskie Towarzystwo Radiologiczne</w:t>
            </w:r>
          </w:p>
        </w:tc>
        <w:tc>
          <w:tcPr>
            <w:tcW w:w="1949" w:type="dxa"/>
            <w:shd w:val="clear" w:color="auto" w:fill="FFFFFF" w:themeFill="background1"/>
          </w:tcPr>
          <w:p w14:paraId="6BAABA63" w14:textId="61291E10"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Art 5 pkt 17 (PUI)</w:t>
            </w:r>
          </w:p>
          <w:p w14:paraId="6749ED59" w14:textId="3515C015" w:rsidR="00306E53" w:rsidRPr="001941B0" w:rsidRDefault="00306E53" w:rsidP="006E0CB2">
            <w:pPr>
              <w:spacing w:after="0" w:line="240" w:lineRule="auto"/>
              <w:rPr>
                <w:rFonts w:eastAsiaTheme="minorEastAsia"/>
                <w:sz w:val="20"/>
                <w:szCs w:val="20"/>
              </w:rPr>
            </w:pPr>
          </w:p>
        </w:tc>
        <w:tc>
          <w:tcPr>
            <w:tcW w:w="5652" w:type="dxa"/>
            <w:shd w:val="clear" w:color="auto" w:fill="FFFFFF" w:themeFill="background1"/>
          </w:tcPr>
          <w:p w14:paraId="4EEA4CA4" w14:textId="3BA00A49" w:rsidR="00306E53" w:rsidRPr="001941B0" w:rsidRDefault="00306E53" w:rsidP="006E0CB2">
            <w:pPr>
              <w:autoSpaceDE w:val="0"/>
              <w:autoSpaceDN w:val="0"/>
              <w:adjustRightInd w:val="0"/>
              <w:spacing w:after="0" w:line="240" w:lineRule="auto"/>
              <w:ind w:firstLine="360"/>
              <w:jc w:val="both"/>
              <w:rPr>
                <w:rFonts w:eastAsiaTheme="minorEastAsia"/>
                <w:sz w:val="20"/>
                <w:szCs w:val="20"/>
              </w:rPr>
            </w:pPr>
            <w:r w:rsidRPr="001941B0">
              <w:rPr>
                <w:rFonts w:eastAsiaTheme="minorEastAsia"/>
                <w:b/>
                <w:sz w:val="20"/>
                <w:szCs w:val="20"/>
              </w:rPr>
              <w:t>Wykorzystywanie narzędzi wspomagających, w tym opartych o systemy AI, powinno zależeć wyłącznie od indywidualnej decyzji lekarza, której podjęcie winno być podyktowane obiektywnymi okolicznościami dotyczącymi indywidualnego przypadku</w:t>
            </w:r>
            <w:r w:rsidRPr="001941B0">
              <w:rPr>
                <w:rFonts w:eastAsiaTheme="minorEastAsia"/>
                <w:sz w:val="20"/>
                <w:szCs w:val="20"/>
              </w:rPr>
              <w:t xml:space="preserve">. </w:t>
            </w:r>
          </w:p>
          <w:p w14:paraId="45383A43" w14:textId="270F19D2" w:rsidR="00306E53" w:rsidRPr="001941B0" w:rsidRDefault="00306E53" w:rsidP="006E0CB2">
            <w:pPr>
              <w:autoSpaceDE w:val="0"/>
              <w:autoSpaceDN w:val="0"/>
              <w:adjustRightInd w:val="0"/>
              <w:spacing w:after="0" w:line="240" w:lineRule="auto"/>
              <w:ind w:firstLine="360"/>
              <w:jc w:val="both"/>
              <w:rPr>
                <w:rFonts w:eastAsiaTheme="minorEastAsia"/>
                <w:color w:val="333333"/>
                <w:sz w:val="20"/>
                <w:szCs w:val="20"/>
              </w:rPr>
            </w:pPr>
            <w:r w:rsidRPr="001941B0">
              <w:rPr>
                <w:rFonts w:eastAsiaTheme="minorEastAsia"/>
                <w:color w:val="333333"/>
                <w:sz w:val="20"/>
                <w:szCs w:val="20"/>
              </w:rPr>
              <w:t xml:space="preserve">Co kluczowe, generowanie automatycznego wyniku opartego o interpretację systemu AI, nie może stanowić wiążącej podstawy w zakresie podjęcia ostatecznej decyzji diagnostycznej, a w dalszym przebiegu leczenia, terapeutycznej. Zgodnie z obowiązującymi regulacjami prawnymi, świadczenia zdrowotne (w rozumieniu art. 2 ust. 1 pkt 10 u.dz.l.) mogą być udzielane przez osobę wykonującą zawód medyczny, tj. </w:t>
            </w:r>
            <w:r w:rsidRPr="001941B0">
              <w:rPr>
                <w:rFonts w:eastAsiaTheme="minorEastAsia"/>
                <w:sz w:val="20"/>
                <w:szCs w:val="20"/>
              </w:rPr>
              <w:t xml:space="preserve">osobę uprawnioną na podstawie odrębnych przepisów do udzielania świadczeń zdrowotnych oraz osobę legitymującą się nabyciem fachowych kwalifikacji do udzielania świadczeń zdrowotnych w określonym zakresie lub w określonej dziedzinie medycyny </w:t>
            </w:r>
            <w:r w:rsidRPr="001941B0">
              <w:rPr>
                <w:rFonts w:eastAsiaTheme="minorEastAsia"/>
                <w:color w:val="333333"/>
                <w:sz w:val="20"/>
                <w:szCs w:val="20"/>
              </w:rPr>
              <w:t xml:space="preserve">(art. 2 ust. 1 pkt 2 u.dz.l.). </w:t>
            </w:r>
          </w:p>
          <w:p w14:paraId="4CF8BDA1" w14:textId="7491E92E" w:rsidR="00306E53" w:rsidRPr="001941B0" w:rsidRDefault="00306E53" w:rsidP="006E0CB2">
            <w:pPr>
              <w:autoSpaceDE w:val="0"/>
              <w:autoSpaceDN w:val="0"/>
              <w:adjustRightInd w:val="0"/>
              <w:spacing w:after="0" w:line="240" w:lineRule="auto"/>
              <w:ind w:firstLine="360"/>
              <w:jc w:val="both"/>
              <w:rPr>
                <w:rFonts w:eastAsiaTheme="minorEastAsia"/>
                <w:color w:val="000000" w:themeColor="text1"/>
                <w:sz w:val="20"/>
                <w:szCs w:val="20"/>
              </w:rPr>
            </w:pPr>
            <w:r w:rsidRPr="001941B0">
              <w:rPr>
                <w:rFonts w:eastAsiaTheme="minorEastAsia"/>
                <w:color w:val="333333"/>
                <w:sz w:val="20"/>
                <w:szCs w:val="20"/>
              </w:rPr>
              <w:t xml:space="preserve">Jak wynika z literalnego brzmienia przepisów u.dz.l., udzielanie świadczeń zdrowotnych należy do wyłącznej kompetencji osób fizycznych, które mogą wykorzystywać nowoczesne technologie, jedynie w celu wspierania swoich działań. Niemożliwe, mając na uwadze aktualnie obowiązujące przepisy prawa, jest jednak udzielanie świadczeń zdrowotnych przez systemy AI, których decyzje powstają w oparciu o automatyczne schematy działania, nie nadzorowane bezpośrednio przez człowieka. Tym samym zasadność wprowadzenia regulacji związanych </w:t>
            </w:r>
            <w:r w:rsidRPr="001941B0">
              <w:rPr>
                <w:sz w:val="20"/>
                <w:szCs w:val="20"/>
              </w:rPr>
              <w:br/>
            </w:r>
            <w:r w:rsidRPr="001941B0">
              <w:rPr>
                <w:rFonts w:eastAsiaTheme="minorEastAsia"/>
                <w:color w:val="333333"/>
                <w:sz w:val="20"/>
                <w:szCs w:val="20"/>
              </w:rPr>
              <w:t xml:space="preserve">z zasadami działania PUI w kontekście posługiwania się wynikiem badania przygotowanym automatycznie, w oparciu o interpretację systemów AI, należy ocenić krytycznie. </w:t>
            </w:r>
            <w:r w:rsidRPr="001941B0">
              <w:rPr>
                <w:rFonts w:eastAsiaTheme="minorEastAsia"/>
                <w:color w:val="000000" w:themeColor="text1"/>
                <w:sz w:val="20"/>
                <w:szCs w:val="20"/>
              </w:rPr>
              <w:t>Problem związany z automatyczną oceną badań obrazowych przez system AI, pogłębia brak informacji dotyczącej procesu walidacji danych wejściowych, jak i budowy modeli pod kątem ich samokształcenia i podejmowania decyzji niezależnie od danych źródłowych.</w:t>
            </w:r>
          </w:p>
          <w:p w14:paraId="00E1A9E6" w14:textId="0F39F08D" w:rsidR="00306E53" w:rsidRPr="001941B0" w:rsidRDefault="00306E53" w:rsidP="006E0CB2">
            <w:pPr>
              <w:autoSpaceDE w:val="0"/>
              <w:autoSpaceDN w:val="0"/>
              <w:adjustRightInd w:val="0"/>
              <w:spacing w:after="0" w:line="240" w:lineRule="auto"/>
              <w:rPr>
                <w:rFonts w:eastAsiaTheme="minorEastAsia"/>
                <w:sz w:val="20"/>
                <w:szCs w:val="20"/>
              </w:rPr>
            </w:pPr>
          </w:p>
        </w:tc>
        <w:tc>
          <w:tcPr>
            <w:tcW w:w="2855" w:type="dxa"/>
            <w:shd w:val="clear" w:color="auto" w:fill="FFFFFF" w:themeFill="background1"/>
          </w:tcPr>
          <w:p w14:paraId="64D60978" w14:textId="09CD39F6" w:rsidR="00F754D6" w:rsidRPr="001941B0" w:rsidRDefault="00F754D6" w:rsidP="00F754D6">
            <w:pPr>
              <w:autoSpaceDE w:val="0"/>
              <w:autoSpaceDN w:val="0"/>
              <w:adjustRightInd w:val="0"/>
              <w:spacing w:after="0" w:line="240" w:lineRule="auto"/>
              <w:rPr>
                <w:rFonts w:cstheme="minorHAnsi"/>
                <w:b/>
                <w:sz w:val="20"/>
                <w:szCs w:val="20"/>
              </w:rPr>
            </w:pPr>
            <w:r w:rsidRPr="001941B0">
              <w:rPr>
                <w:rFonts w:cstheme="minorHAnsi"/>
                <w:b/>
                <w:sz w:val="20"/>
                <w:szCs w:val="20"/>
              </w:rPr>
              <w:t>Uwaga nieuwzględniona</w:t>
            </w:r>
          </w:p>
          <w:p w14:paraId="14505078" w14:textId="0EEC6F84" w:rsidR="00306E53" w:rsidRPr="001941B0" w:rsidRDefault="00F754D6" w:rsidP="00F754D6">
            <w:pPr>
              <w:autoSpaceDE w:val="0"/>
              <w:autoSpaceDN w:val="0"/>
              <w:adjustRightInd w:val="0"/>
              <w:spacing w:after="0" w:line="240" w:lineRule="auto"/>
              <w:rPr>
                <w:rFonts w:cstheme="minorHAnsi"/>
                <w:sz w:val="20"/>
                <w:szCs w:val="20"/>
              </w:rPr>
            </w:pPr>
            <w:r w:rsidRPr="001941B0">
              <w:rPr>
                <w:rFonts w:cstheme="minorHAnsi"/>
                <w:sz w:val="20"/>
                <w:szCs w:val="20"/>
              </w:rPr>
              <w:t>Używanie AI mieści</w:t>
            </w:r>
            <w:r w:rsidR="003648FA" w:rsidRPr="001941B0">
              <w:rPr>
                <w:rFonts w:cstheme="minorHAnsi"/>
                <w:sz w:val="20"/>
                <w:szCs w:val="20"/>
              </w:rPr>
              <w:t xml:space="preserve"> się</w:t>
            </w:r>
            <w:r w:rsidRPr="001941B0">
              <w:rPr>
                <w:rFonts w:cstheme="minorHAnsi"/>
                <w:sz w:val="20"/>
                <w:szCs w:val="20"/>
              </w:rPr>
              <w:t xml:space="preserve"> w zakresie wykonywania z</w:t>
            </w:r>
            <w:r w:rsidR="00C177DD" w:rsidRPr="001941B0">
              <w:rPr>
                <w:rFonts w:cstheme="minorHAnsi"/>
                <w:sz w:val="20"/>
                <w:szCs w:val="20"/>
              </w:rPr>
              <w:t>a</w:t>
            </w:r>
            <w:r w:rsidRPr="001941B0">
              <w:rPr>
                <w:rFonts w:cstheme="minorHAnsi"/>
                <w:sz w:val="20"/>
                <w:szCs w:val="20"/>
              </w:rPr>
              <w:t>wodu lekarza, zgodnie z aktualną wiedzą medyczną, ale nie zwalnia go to z odpowiedzialności.</w:t>
            </w:r>
          </w:p>
          <w:p w14:paraId="6C3F902E" w14:textId="16CD250D" w:rsidR="00143D37" w:rsidRPr="001941B0" w:rsidRDefault="00143D37" w:rsidP="00F754D6">
            <w:pPr>
              <w:autoSpaceDE w:val="0"/>
              <w:autoSpaceDN w:val="0"/>
              <w:adjustRightInd w:val="0"/>
              <w:spacing w:after="0" w:line="240" w:lineRule="auto"/>
              <w:rPr>
                <w:rFonts w:cstheme="minorHAnsi"/>
                <w:sz w:val="20"/>
                <w:szCs w:val="20"/>
              </w:rPr>
            </w:pPr>
          </w:p>
        </w:tc>
      </w:tr>
      <w:tr w:rsidR="00FC7212" w:rsidRPr="001941B0" w14:paraId="483D0F80" w14:textId="77777777" w:rsidTr="7139DBB9">
        <w:tc>
          <w:tcPr>
            <w:tcW w:w="1125" w:type="dxa"/>
            <w:shd w:val="clear" w:color="auto" w:fill="FFFFFF" w:themeFill="background1"/>
          </w:tcPr>
          <w:p w14:paraId="3B976A7A"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62C6E4B" w14:textId="3035D1AF" w:rsidR="00306E53" w:rsidRPr="001941B0" w:rsidRDefault="00306E53" w:rsidP="006E0CB2">
            <w:pPr>
              <w:spacing w:after="0" w:line="240" w:lineRule="auto"/>
              <w:rPr>
                <w:rFonts w:cs="Calibri"/>
                <w:sz w:val="20"/>
                <w:szCs w:val="20"/>
              </w:rPr>
            </w:pPr>
            <w:r w:rsidRPr="001941B0">
              <w:rPr>
                <w:rFonts w:cs="Calibri"/>
                <w:sz w:val="20"/>
                <w:szCs w:val="20"/>
              </w:rPr>
              <w:t>Polskie Lekarskie Towarzystwo Radiologiczne</w:t>
            </w:r>
          </w:p>
        </w:tc>
        <w:tc>
          <w:tcPr>
            <w:tcW w:w="1949" w:type="dxa"/>
            <w:shd w:val="clear" w:color="auto" w:fill="FFFFFF" w:themeFill="background1"/>
          </w:tcPr>
          <w:p w14:paraId="522BDA3B" w14:textId="096EFC93"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Art 5 pkt 17 (PUI)</w:t>
            </w:r>
          </w:p>
          <w:p w14:paraId="3496267E" w14:textId="3AD5ECCC" w:rsidR="004E53EC" w:rsidRPr="001941B0" w:rsidRDefault="004E53EC" w:rsidP="006E0CB2">
            <w:pPr>
              <w:spacing w:after="0" w:line="240" w:lineRule="auto"/>
              <w:rPr>
                <w:rFonts w:eastAsiaTheme="minorEastAsia"/>
                <w:sz w:val="20"/>
                <w:szCs w:val="20"/>
              </w:rPr>
            </w:pPr>
          </w:p>
          <w:p w14:paraId="77C5F1B8" w14:textId="5188E3E0" w:rsidR="00306E53" w:rsidRPr="001941B0" w:rsidRDefault="00306E53" w:rsidP="006E0CB2">
            <w:pPr>
              <w:spacing w:after="0" w:line="240" w:lineRule="auto"/>
              <w:rPr>
                <w:rFonts w:eastAsiaTheme="minorEastAsia"/>
                <w:sz w:val="20"/>
                <w:szCs w:val="20"/>
              </w:rPr>
            </w:pPr>
          </w:p>
        </w:tc>
        <w:tc>
          <w:tcPr>
            <w:tcW w:w="5652" w:type="dxa"/>
            <w:shd w:val="clear" w:color="auto" w:fill="FFFFFF" w:themeFill="background1"/>
          </w:tcPr>
          <w:p w14:paraId="1B064A83" w14:textId="7C2016CA" w:rsidR="00306E53" w:rsidRPr="001941B0" w:rsidRDefault="00306E53" w:rsidP="006E0CB2">
            <w:pPr>
              <w:autoSpaceDE w:val="0"/>
              <w:autoSpaceDN w:val="0"/>
              <w:adjustRightInd w:val="0"/>
              <w:spacing w:after="0" w:line="240" w:lineRule="auto"/>
              <w:ind w:firstLine="360"/>
              <w:jc w:val="both"/>
              <w:rPr>
                <w:rFonts w:eastAsiaTheme="minorEastAsia"/>
                <w:b/>
                <w:color w:val="333333"/>
                <w:sz w:val="20"/>
                <w:szCs w:val="20"/>
              </w:rPr>
            </w:pPr>
            <w:r w:rsidRPr="001941B0">
              <w:rPr>
                <w:rFonts w:eastAsiaTheme="minorEastAsia"/>
                <w:b/>
                <w:color w:val="333333"/>
                <w:sz w:val="20"/>
                <w:szCs w:val="20"/>
              </w:rPr>
              <w:t xml:space="preserve">Dopuszczalność wykorzystania systemów AI z perspektywy poszanowania praw pacjenta </w:t>
            </w:r>
          </w:p>
          <w:p w14:paraId="6567ADA6" w14:textId="2B847894" w:rsidR="00306E53" w:rsidRPr="001941B0" w:rsidRDefault="00306E53" w:rsidP="006E0CB2">
            <w:pPr>
              <w:autoSpaceDE w:val="0"/>
              <w:autoSpaceDN w:val="0"/>
              <w:adjustRightInd w:val="0"/>
              <w:spacing w:after="0" w:line="240" w:lineRule="auto"/>
              <w:ind w:firstLine="360"/>
              <w:jc w:val="both"/>
              <w:rPr>
                <w:rFonts w:eastAsiaTheme="minorEastAsia"/>
                <w:color w:val="333333"/>
                <w:sz w:val="20"/>
                <w:szCs w:val="20"/>
              </w:rPr>
            </w:pPr>
            <w:r w:rsidRPr="001941B0">
              <w:rPr>
                <w:rFonts w:eastAsiaTheme="minorEastAsia"/>
                <w:color w:val="333333"/>
                <w:sz w:val="20"/>
                <w:szCs w:val="20"/>
              </w:rPr>
              <w:t xml:space="preserve">Przepisy odnoszące się do zasad funkcjonowania PUI i generowania automatycznego wyniku stanowiącego opis badania obrazowego, nie są spójne z regulacjami odnoszącymi się do praw pacjenta, w tym prawem do informacji i podejmowania autonomicznych decyzji </w:t>
            </w:r>
            <w:r w:rsidRPr="001941B0">
              <w:rPr>
                <w:sz w:val="20"/>
                <w:szCs w:val="20"/>
              </w:rPr>
              <w:br/>
            </w:r>
            <w:r w:rsidRPr="001941B0">
              <w:rPr>
                <w:rFonts w:eastAsiaTheme="minorEastAsia"/>
                <w:color w:val="333333"/>
                <w:sz w:val="20"/>
                <w:szCs w:val="20"/>
              </w:rPr>
              <w:t xml:space="preserve">w procesie udzielania świadczeń zdrowotnych. Z treści art. 32 ust. 1 u.z.l., wynika wprost, że </w:t>
            </w:r>
            <w:r w:rsidRPr="001941B0">
              <w:rPr>
                <w:rFonts w:eastAsiaTheme="minorEastAsia"/>
                <w:i/>
                <w:color w:val="333333"/>
                <w:sz w:val="20"/>
                <w:szCs w:val="20"/>
              </w:rPr>
              <w:t xml:space="preserve">„Lekarz może przeprowadzić badanie lub udzielić innych świadczeń zdrowotnych, z zastrzeżeniem wyjątków przewidzianych w ustawie, po wyrażeniu zgody przez pacjenta”. </w:t>
            </w:r>
            <w:r w:rsidRPr="001941B0">
              <w:rPr>
                <w:rFonts w:eastAsiaTheme="minorEastAsia"/>
                <w:color w:val="333333"/>
                <w:sz w:val="20"/>
                <w:szCs w:val="20"/>
              </w:rPr>
              <w:t xml:space="preserve">Abstrahując od szczegółowych reguł związanych </w:t>
            </w:r>
            <w:r w:rsidRPr="001941B0">
              <w:rPr>
                <w:sz w:val="20"/>
                <w:szCs w:val="20"/>
              </w:rPr>
              <w:br/>
            </w:r>
            <w:r w:rsidRPr="001941B0">
              <w:rPr>
                <w:rFonts w:eastAsiaTheme="minorEastAsia"/>
                <w:color w:val="333333"/>
                <w:sz w:val="20"/>
                <w:szCs w:val="20"/>
              </w:rPr>
              <w:t xml:space="preserve">z wyrażeniem zgody i sprzeciwu na udzielanie świadczeń zdrowotnych, należy przyjąć, że podstawowym prawem pacjenta jest świadomy udział w procesie leczenia. </w:t>
            </w:r>
          </w:p>
          <w:p w14:paraId="7A121ABE" w14:textId="36B91415" w:rsidR="00306E53" w:rsidRPr="001941B0" w:rsidRDefault="00306E53" w:rsidP="006E0CB2">
            <w:pPr>
              <w:autoSpaceDE w:val="0"/>
              <w:autoSpaceDN w:val="0"/>
              <w:adjustRightInd w:val="0"/>
              <w:spacing w:after="0" w:line="240" w:lineRule="auto"/>
              <w:ind w:firstLine="360"/>
              <w:jc w:val="both"/>
              <w:rPr>
                <w:rFonts w:eastAsiaTheme="minorEastAsia"/>
                <w:color w:val="333333"/>
                <w:sz w:val="20"/>
                <w:szCs w:val="20"/>
              </w:rPr>
            </w:pPr>
            <w:r w:rsidRPr="001941B0">
              <w:rPr>
                <w:rFonts w:eastAsiaTheme="minorEastAsia"/>
                <w:color w:val="333333"/>
                <w:sz w:val="20"/>
                <w:szCs w:val="20"/>
              </w:rPr>
              <w:t xml:space="preserve">Podstawą udzielenia każdego świadczenia zdrowotnego (niezależnie od jego rodzaju </w:t>
            </w:r>
            <w:r w:rsidRPr="001941B0">
              <w:rPr>
                <w:sz w:val="20"/>
                <w:szCs w:val="20"/>
              </w:rPr>
              <w:br/>
            </w:r>
            <w:r w:rsidRPr="001941B0">
              <w:rPr>
                <w:rFonts w:eastAsiaTheme="minorEastAsia"/>
                <w:color w:val="333333"/>
                <w:sz w:val="20"/>
                <w:szCs w:val="20"/>
              </w:rPr>
              <w:t xml:space="preserve">i poziomu ryzyka), jest podjęcie pozytywnej decyzji o jego przeprowadzeniu przez uprawniony podmiot, czyli pacjenta lub jego przedstawiciela ustawowego, (bądź opiekuna faktycznego </w:t>
            </w:r>
            <w:r w:rsidRPr="001941B0">
              <w:rPr>
                <w:sz w:val="20"/>
                <w:szCs w:val="20"/>
              </w:rPr>
              <w:br/>
            </w:r>
            <w:r w:rsidRPr="001941B0">
              <w:rPr>
                <w:rFonts w:eastAsiaTheme="minorEastAsia"/>
                <w:color w:val="333333"/>
                <w:sz w:val="20"/>
                <w:szCs w:val="20"/>
              </w:rPr>
              <w:t>w odniesieniu do badania), a w przypadku pacjentów między 16 a 18 rokiem życia i pacjentów ubezwłasnowolnionych posiadających rozeznanie co do własnej sytuacji, zarówno przez pacjenta jak i jego przedstawiciela ustawowego (lub opiekuna faktycznego, w przypadku badania). Podstawą wyrażenia świadomej zgody jest udzielenie przez lekarza, przed przystąpieniem do planowanych czynności informacji, których zakres został enumeratywnie określony w treści art. 31 ust. 1 u.z.l.</w:t>
            </w:r>
          </w:p>
          <w:p w14:paraId="5E0DCECF" w14:textId="0F061639" w:rsidR="00306E53" w:rsidRPr="001941B0" w:rsidRDefault="00306E53" w:rsidP="006E0CB2">
            <w:pPr>
              <w:autoSpaceDE w:val="0"/>
              <w:autoSpaceDN w:val="0"/>
              <w:adjustRightInd w:val="0"/>
              <w:spacing w:after="0" w:line="240" w:lineRule="auto"/>
              <w:ind w:firstLine="360"/>
              <w:jc w:val="both"/>
              <w:rPr>
                <w:rFonts w:eastAsiaTheme="minorEastAsia"/>
                <w:color w:val="333333"/>
                <w:sz w:val="20"/>
                <w:szCs w:val="20"/>
              </w:rPr>
            </w:pPr>
            <w:r w:rsidRPr="001941B0">
              <w:rPr>
                <w:rFonts w:eastAsiaTheme="minorEastAsia"/>
                <w:color w:val="333333"/>
                <w:sz w:val="20"/>
                <w:szCs w:val="20"/>
              </w:rPr>
              <w:t xml:space="preserve">Przepisy projektu u.e.z. wprowadzające zmiany w treści ustawy o systemie informacji </w:t>
            </w:r>
            <w:r w:rsidRPr="001941B0">
              <w:rPr>
                <w:sz w:val="20"/>
                <w:szCs w:val="20"/>
              </w:rPr>
              <w:br/>
            </w:r>
            <w:r w:rsidRPr="001941B0">
              <w:rPr>
                <w:rFonts w:eastAsiaTheme="minorEastAsia"/>
                <w:color w:val="333333"/>
                <w:sz w:val="20"/>
                <w:szCs w:val="20"/>
              </w:rPr>
              <w:t xml:space="preserve">w ochronie zdrowia, nie odnosząc się do kwestii poszanowania praw pacjenta w przedmiocie podejmowania decyzji o wykonaniu świadczenia, którego przebieg wspierany jest przez automatyczną interpretację wyniku badania obrazowego dokonywanego przez systemy AI. </w:t>
            </w:r>
          </w:p>
          <w:p w14:paraId="2444F076" w14:textId="5E760932" w:rsidR="00306E53" w:rsidRPr="001941B0" w:rsidRDefault="00306E53" w:rsidP="006E0CB2">
            <w:pPr>
              <w:tabs>
                <w:tab w:val="left" w:pos="3940"/>
              </w:tabs>
              <w:autoSpaceDE w:val="0"/>
              <w:autoSpaceDN w:val="0"/>
              <w:adjustRightInd w:val="0"/>
              <w:spacing w:after="0" w:line="240" w:lineRule="auto"/>
              <w:ind w:firstLine="360"/>
              <w:jc w:val="both"/>
              <w:rPr>
                <w:rFonts w:eastAsiaTheme="minorEastAsia"/>
                <w:sz w:val="20"/>
                <w:szCs w:val="20"/>
              </w:rPr>
            </w:pPr>
            <w:r w:rsidRPr="001941B0">
              <w:rPr>
                <w:rFonts w:eastAsiaTheme="minorEastAsia"/>
                <w:color w:val="333333"/>
                <w:sz w:val="20"/>
                <w:szCs w:val="20"/>
              </w:rPr>
              <w:lastRenderedPageBreak/>
              <w:t xml:space="preserve">Powyższe stoi w sprzeczności z treścią Kodeksu Etyki Lekarskiej z 18.05.2024 r., </w:t>
            </w:r>
            <w:r w:rsidRPr="001941B0">
              <w:rPr>
                <w:sz w:val="20"/>
                <w:szCs w:val="20"/>
              </w:rPr>
              <w:br/>
            </w:r>
            <w:r w:rsidRPr="001941B0">
              <w:rPr>
                <w:rFonts w:eastAsiaTheme="minorEastAsia"/>
                <w:color w:val="333333"/>
                <w:sz w:val="20"/>
                <w:szCs w:val="20"/>
              </w:rPr>
              <w:t>- dalej: KEL (z</w:t>
            </w:r>
            <w:r w:rsidRPr="001941B0">
              <w:rPr>
                <w:rFonts w:eastAsiaTheme="minorEastAsia"/>
                <w:sz w:val="20"/>
                <w:szCs w:val="20"/>
              </w:rPr>
              <w:t xml:space="preserve">ałącznik do uchwały nr 5 Nadzwyczajnego XVI Krajowego Zjazdu Lekarzy), który obowiązuje od 1.01.2025 roku. </w:t>
            </w:r>
          </w:p>
          <w:p w14:paraId="6E16703F" w14:textId="1BE99286" w:rsidR="00306E53" w:rsidRPr="001941B0" w:rsidRDefault="00306E53" w:rsidP="006E0CB2">
            <w:pPr>
              <w:tabs>
                <w:tab w:val="left" w:pos="3940"/>
              </w:tabs>
              <w:autoSpaceDE w:val="0"/>
              <w:autoSpaceDN w:val="0"/>
              <w:adjustRightInd w:val="0"/>
              <w:spacing w:after="0" w:line="240" w:lineRule="auto"/>
              <w:ind w:firstLine="360"/>
              <w:jc w:val="both"/>
              <w:rPr>
                <w:rFonts w:eastAsiaTheme="minorEastAsia"/>
                <w:i/>
                <w:sz w:val="20"/>
                <w:szCs w:val="20"/>
              </w:rPr>
            </w:pPr>
            <w:r w:rsidRPr="001941B0">
              <w:rPr>
                <w:rFonts w:eastAsiaTheme="minorEastAsia"/>
                <w:sz w:val="20"/>
                <w:szCs w:val="20"/>
              </w:rPr>
              <w:t xml:space="preserve">Zgodnie z art. 12 pkt.1-2 KEL, </w:t>
            </w:r>
            <w:r w:rsidRPr="001941B0">
              <w:rPr>
                <w:rFonts w:eastAsiaTheme="minorEastAsia"/>
                <w:i/>
                <w:sz w:val="20"/>
                <w:szCs w:val="20"/>
              </w:rPr>
              <w:t xml:space="preserve">„Lekarz może w postępowaniu diagnostycznym, leczniczym lub zapobiegawczym korzystać z algorytmów sztucznej inteligencji przy spełnieniu następujących warunków: 1) poinformowania pacjenta, że przy stawianiu diagnozy lub </w:t>
            </w:r>
            <w:r w:rsidRPr="001941B0">
              <w:rPr>
                <w:sz w:val="20"/>
                <w:szCs w:val="20"/>
              </w:rPr>
              <w:br/>
            </w:r>
            <w:r w:rsidRPr="001941B0">
              <w:rPr>
                <w:rFonts w:eastAsiaTheme="minorEastAsia"/>
                <w:i/>
                <w:sz w:val="20"/>
                <w:szCs w:val="20"/>
              </w:rPr>
              <w:t xml:space="preserve">w procesie terapeutycznym będzie wykorzystana sztuczna inteligencja; 2) uzyskania świadomej zgody pacjenta na zastosowanie sztucznej inteligencji w procesie diagnostycznym lub terapeutycznym”. </w:t>
            </w:r>
          </w:p>
          <w:p w14:paraId="5BCAE599" w14:textId="6CFEC37D" w:rsidR="00306E53" w:rsidRPr="001941B0" w:rsidRDefault="00306E53" w:rsidP="006E0CB2">
            <w:pPr>
              <w:tabs>
                <w:tab w:val="left" w:pos="3940"/>
              </w:tabs>
              <w:autoSpaceDE w:val="0"/>
              <w:autoSpaceDN w:val="0"/>
              <w:adjustRightInd w:val="0"/>
              <w:spacing w:after="0" w:line="240" w:lineRule="auto"/>
              <w:ind w:firstLine="360"/>
              <w:jc w:val="both"/>
              <w:rPr>
                <w:rFonts w:eastAsiaTheme="minorEastAsia"/>
                <w:sz w:val="20"/>
                <w:szCs w:val="20"/>
              </w:rPr>
            </w:pPr>
            <w:r w:rsidRPr="001941B0">
              <w:rPr>
                <w:rFonts w:eastAsiaTheme="minorEastAsia"/>
                <w:sz w:val="20"/>
                <w:szCs w:val="20"/>
              </w:rPr>
              <w:t>Mając na uwadze literalne brzmienie cytowanej wyżej regulacji, jak również jej wykładnię funkcjonalną i celowościową należy przyjąć, że wykorzystywanie systemów AI do oceny badań diagnostycznych, wymaga poinformowanej zgody podmiotu uprawnionego do podejmowania decyzji w procesie udzielania świadczeń zdrowotnych.</w:t>
            </w:r>
          </w:p>
          <w:p w14:paraId="52169C62" w14:textId="4B3324C0" w:rsidR="00306E53" w:rsidRPr="001941B0" w:rsidRDefault="00306E53" w:rsidP="006E0CB2">
            <w:pPr>
              <w:autoSpaceDE w:val="0"/>
              <w:autoSpaceDN w:val="0"/>
              <w:adjustRightInd w:val="0"/>
              <w:spacing w:after="0" w:line="240" w:lineRule="auto"/>
              <w:ind w:firstLine="360"/>
              <w:jc w:val="both"/>
              <w:rPr>
                <w:rFonts w:eastAsiaTheme="minorEastAsia"/>
                <w:sz w:val="20"/>
                <w:szCs w:val="20"/>
              </w:rPr>
            </w:pPr>
            <w:r w:rsidRPr="001941B0">
              <w:rPr>
                <w:rFonts w:eastAsiaTheme="minorEastAsia"/>
                <w:sz w:val="20"/>
                <w:szCs w:val="20"/>
              </w:rPr>
              <w:t xml:space="preserve">Koniecznym jest również wskazanie, że zgodnie z art. 12 pkt 4 KEL, </w:t>
            </w:r>
            <w:r w:rsidRPr="001941B0">
              <w:rPr>
                <w:rFonts w:eastAsiaTheme="minorEastAsia"/>
                <w:i/>
                <w:sz w:val="20"/>
                <w:szCs w:val="20"/>
              </w:rPr>
              <w:t>„ostateczną decyzję diagnostyczną i terapeutyczną zawsze podejmuje lekarz”.</w:t>
            </w:r>
            <w:r w:rsidRPr="001941B0">
              <w:rPr>
                <w:rFonts w:eastAsiaTheme="minorEastAsia"/>
                <w:sz w:val="20"/>
                <w:szCs w:val="20"/>
              </w:rPr>
              <w:t xml:space="preserve"> Celem przywołanej regulacji jest wykluczenie automatyzacji działań medycznych, w tym eliminacja potencjalnych błędów powstających  w związku z działaniem systemów AI w mechanizmie black box [...]</w:t>
            </w:r>
          </w:p>
          <w:p w14:paraId="5C588E9A" w14:textId="61FB50B4" w:rsidR="00306E53" w:rsidRPr="001941B0" w:rsidRDefault="00306E53" w:rsidP="006E0CB2">
            <w:pPr>
              <w:tabs>
                <w:tab w:val="left" w:pos="3940"/>
              </w:tabs>
              <w:autoSpaceDE w:val="0"/>
              <w:autoSpaceDN w:val="0"/>
              <w:adjustRightInd w:val="0"/>
              <w:spacing w:after="0" w:line="240" w:lineRule="auto"/>
              <w:jc w:val="both"/>
              <w:rPr>
                <w:rFonts w:eastAsiaTheme="minorEastAsia"/>
                <w:sz w:val="20"/>
                <w:szCs w:val="20"/>
              </w:rPr>
            </w:pPr>
            <w:r w:rsidRPr="001941B0">
              <w:rPr>
                <w:rFonts w:eastAsiaTheme="minorEastAsia"/>
                <w:sz w:val="20"/>
                <w:szCs w:val="20"/>
              </w:rPr>
              <w:t xml:space="preserve">          Brak informacji dla klinicystów, w zakresie dochodzenia systemów AI do wniosków stanowiących podstawę wyniku badania obrazowego, stanowi bazową przeszkodę </w:t>
            </w:r>
            <w:r w:rsidRPr="001941B0">
              <w:rPr>
                <w:sz w:val="20"/>
                <w:szCs w:val="20"/>
              </w:rPr>
              <w:br/>
            </w:r>
            <w:r w:rsidRPr="001941B0">
              <w:rPr>
                <w:rFonts w:eastAsiaTheme="minorEastAsia"/>
                <w:sz w:val="20"/>
                <w:szCs w:val="20"/>
              </w:rPr>
              <w:t xml:space="preserve">w traktowaniu ich jako wiążących i stanowiących podstawę decyzji diagnostycznych, </w:t>
            </w:r>
            <w:r w:rsidRPr="001941B0">
              <w:rPr>
                <w:sz w:val="20"/>
                <w:szCs w:val="20"/>
              </w:rPr>
              <w:br/>
            </w:r>
            <w:r w:rsidRPr="001941B0">
              <w:rPr>
                <w:rFonts w:eastAsiaTheme="minorEastAsia"/>
                <w:sz w:val="20"/>
                <w:szCs w:val="20"/>
              </w:rPr>
              <w:t xml:space="preserve">a w dalszej kolejności terapeutycznych. Tym samym projekt przepisów odnoszących się do wykorzystywania zautomatyzowanych decyzji opartych na interpretacji systemów AI </w:t>
            </w:r>
            <w:r w:rsidRPr="001941B0">
              <w:rPr>
                <w:sz w:val="20"/>
                <w:szCs w:val="20"/>
              </w:rPr>
              <w:br/>
            </w:r>
            <w:r w:rsidRPr="001941B0">
              <w:rPr>
                <w:rFonts w:eastAsiaTheme="minorEastAsia"/>
                <w:sz w:val="20"/>
                <w:szCs w:val="20"/>
              </w:rPr>
              <w:t xml:space="preserve">w przedmiocie oceny badań obrazowych, nalezy ocenić </w:t>
            </w:r>
            <w:r w:rsidRPr="001941B0">
              <w:rPr>
                <w:rFonts w:eastAsiaTheme="minorEastAsia"/>
                <w:sz w:val="20"/>
                <w:szCs w:val="20"/>
              </w:rPr>
              <w:lastRenderedPageBreak/>
              <w:t>krytycznie zarówno pod kątem jakości udzielanych świadczeń zdrowotnych, jak i bezpieczeństwa pacjenta.</w:t>
            </w:r>
          </w:p>
          <w:p w14:paraId="56137950" w14:textId="075E3E14" w:rsidR="00306E53" w:rsidRPr="001941B0" w:rsidRDefault="00306E53" w:rsidP="006E0CB2">
            <w:pPr>
              <w:autoSpaceDE w:val="0"/>
              <w:autoSpaceDN w:val="0"/>
              <w:adjustRightInd w:val="0"/>
              <w:spacing w:after="0" w:line="240" w:lineRule="auto"/>
              <w:ind w:firstLine="360"/>
              <w:jc w:val="both"/>
              <w:rPr>
                <w:rFonts w:eastAsiaTheme="minorEastAsia"/>
                <w:sz w:val="20"/>
                <w:szCs w:val="20"/>
              </w:rPr>
            </w:pPr>
          </w:p>
          <w:p w14:paraId="3C1EF173" w14:textId="346D68B6" w:rsidR="00306E53" w:rsidRPr="001941B0" w:rsidRDefault="00306E53" w:rsidP="006E0CB2">
            <w:pPr>
              <w:autoSpaceDE w:val="0"/>
              <w:autoSpaceDN w:val="0"/>
              <w:adjustRightInd w:val="0"/>
              <w:spacing w:after="0" w:line="240" w:lineRule="auto"/>
              <w:rPr>
                <w:rFonts w:eastAsiaTheme="minorEastAsia"/>
                <w:sz w:val="20"/>
                <w:szCs w:val="20"/>
              </w:rPr>
            </w:pPr>
          </w:p>
        </w:tc>
        <w:tc>
          <w:tcPr>
            <w:tcW w:w="2855" w:type="dxa"/>
            <w:shd w:val="clear" w:color="auto" w:fill="FFFFFF" w:themeFill="background1"/>
          </w:tcPr>
          <w:p w14:paraId="7E383699" w14:textId="55C98445" w:rsidR="00306E53" w:rsidRPr="001941B0" w:rsidRDefault="008706EE" w:rsidP="006E0CB2">
            <w:pPr>
              <w:autoSpaceDE w:val="0"/>
              <w:autoSpaceDN w:val="0"/>
              <w:adjustRightInd w:val="0"/>
              <w:spacing w:after="0" w:line="240" w:lineRule="auto"/>
              <w:rPr>
                <w:b/>
                <w:sz w:val="20"/>
                <w:szCs w:val="20"/>
              </w:rPr>
            </w:pPr>
            <w:r w:rsidRPr="001941B0">
              <w:rPr>
                <w:b/>
                <w:sz w:val="20"/>
                <w:szCs w:val="20"/>
              </w:rPr>
              <w:lastRenderedPageBreak/>
              <w:t>Wyjaśnienia</w:t>
            </w:r>
          </w:p>
          <w:p w14:paraId="02F65EE6" w14:textId="68745FCE" w:rsidR="5EB4889C" w:rsidRPr="001941B0" w:rsidRDefault="5EB4889C" w:rsidP="0ED8DCA7">
            <w:pPr>
              <w:spacing w:after="0" w:line="240" w:lineRule="auto"/>
              <w:rPr>
                <w:sz w:val="20"/>
                <w:szCs w:val="20"/>
              </w:rPr>
            </w:pPr>
            <w:r w:rsidRPr="001941B0">
              <w:rPr>
                <w:sz w:val="20"/>
                <w:szCs w:val="20"/>
              </w:rPr>
              <w:t>Zgoda pacjenta wynika ze zgody na świadczenie opieki zdrowotnej. Kwestia informowania o metodach leczenia spoczywa na lekarzu.</w:t>
            </w:r>
          </w:p>
          <w:p w14:paraId="5093FA56" w14:textId="77777777" w:rsidR="00AA7639" w:rsidRPr="001941B0" w:rsidRDefault="00AA7639" w:rsidP="00C51394">
            <w:pPr>
              <w:autoSpaceDE w:val="0"/>
              <w:autoSpaceDN w:val="0"/>
              <w:adjustRightInd w:val="0"/>
              <w:spacing w:after="0" w:line="240" w:lineRule="auto"/>
              <w:rPr>
                <w:rFonts w:cstheme="minorHAnsi"/>
                <w:sz w:val="20"/>
                <w:szCs w:val="20"/>
              </w:rPr>
            </w:pPr>
          </w:p>
          <w:p w14:paraId="30313430" w14:textId="1860F43F" w:rsidR="00A42230" w:rsidRPr="001941B0" w:rsidRDefault="00A42230" w:rsidP="00A42230">
            <w:pPr>
              <w:autoSpaceDE w:val="0"/>
              <w:autoSpaceDN w:val="0"/>
              <w:adjustRightInd w:val="0"/>
              <w:spacing w:after="0" w:line="240" w:lineRule="auto"/>
              <w:rPr>
                <w:sz w:val="20"/>
                <w:szCs w:val="20"/>
              </w:rPr>
            </w:pPr>
            <w:r w:rsidRPr="001941B0">
              <w:rPr>
                <w:sz w:val="20"/>
                <w:szCs w:val="20"/>
              </w:rPr>
              <w:t>To osoba wykonująca zawód medyczny decyduje w jak i w jakim zakresie informować pacjenta o proponowanych oraz możliwych metodach diagnostycznych i leczniczych, w tym użyciu konkretnych technologii.</w:t>
            </w:r>
          </w:p>
          <w:p w14:paraId="0A21A82A" w14:textId="0B680269" w:rsidR="00306E53" w:rsidRPr="001941B0" w:rsidRDefault="00306E53" w:rsidP="00C51394">
            <w:pPr>
              <w:autoSpaceDE w:val="0"/>
              <w:autoSpaceDN w:val="0"/>
              <w:adjustRightInd w:val="0"/>
              <w:spacing w:after="0" w:line="240" w:lineRule="auto"/>
              <w:rPr>
                <w:rFonts w:cstheme="minorHAnsi"/>
                <w:b/>
                <w:sz w:val="20"/>
                <w:szCs w:val="20"/>
              </w:rPr>
            </w:pPr>
          </w:p>
        </w:tc>
      </w:tr>
      <w:tr w:rsidR="00FC7212" w:rsidRPr="001941B0" w14:paraId="5F6942AD" w14:textId="77777777" w:rsidTr="7139DBB9">
        <w:tc>
          <w:tcPr>
            <w:tcW w:w="1125" w:type="dxa"/>
            <w:shd w:val="clear" w:color="auto" w:fill="FFFFFF" w:themeFill="background1"/>
          </w:tcPr>
          <w:p w14:paraId="69887CD6"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659EE56" w14:textId="3035D1AF" w:rsidR="00306E53" w:rsidRPr="001941B0" w:rsidRDefault="00306E53" w:rsidP="006E0CB2">
            <w:pPr>
              <w:spacing w:after="0" w:line="240" w:lineRule="auto"/>
              <w:rPr>
                <w:rFonts w:cs="Calibri"/>
                <w:sz w:val="20"/>
                <w:szCs w:val="20"/>
              </w:rPr>
            </w:pPr>
            <w:r w:rsidRPr="001941B0">
              <w:rPr>
                <w:rFonts w:cs="Calibri"/>
                <w:sz w:val="20"/>
                <w:szCs w:val="20"/>
              </w:rPr>
              <w:t>Polskie Lekarskie Towarzystwo Radiologiczne</w:t>
            </w:r>
          </w:p>
        </w:tc>
        <w:tc>
          <w:tcPr>
            <w:tcW w:w="1949" w:type="dxa"/>
            <w:shd w:val="clear" w:color="auto" w:fill="FFFFFF" w:themeFill="background1"/>
          </w:tcPr>
          <w:p w14:paraId="2031E8C8" w14:textId="69C5CA2E"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Art 5 pkt 17 (PUI)</w:t>
            </w:r>
          </w:p>
          <w:p w14:paraId="0A2684C6" w14:textId="3B09A20A" w:rsidR="004E53EC" w:rsidRPr="001941B0" w:rsidRDefault="004E53EC" w:rsidP="006E0CB2">
            <w:pPr>
              <w:spacing w:after="0" w:line="240" w:lineRule="auto"/>
              <w:rPr>
                <w:rFonts w:eastAsiaTheme="minorEastAsia"/>
                <w:sz w:val="20"/>
                <w:szCs w:val="20"/>
              </w:rPr>
            </w:pPr>
          </w:p>
          <w:p w14:paraId="74A5CDEA" w14:textId="0B9ADF72" w:rsidR="00306E53" w:rsidRPr="001941B0" w:rsidRDefault="00306E53" w:rsidP="006E0CB2">
            <w:pPr>
              <w:spacing w:after="0" w:line="240" w:lineRule="auto"/>
              <w:rPr>
                <w:rFonts w:eastAsiaTheme="minorEastAsia"/>
                <w:sz w:val="20"/>
                <w:szCs w:val="20"/>
              </w:rPr>
            </w:pPr>
          </w:p>
        </w:tc>
        <w:tc>
          <w:tcPr>
            <w:tcW w:w="5652" w:type="dxa"/>
            <w:shd w:val="clear" w:color="auto" w:fill="FFFFFF" w:themeFill="background1"/>
          </w:tcPr>
          <w:p w14:paraId="5315CEA2" w14:textId="7F3CF714" w:rsidR="00306E53" w:rsidRPr="001941B0" w:rsidRDefault="00306E53" w:rsidP="006E0CB2">
            <w:pPr>
              <w:autoSpaceDE w:val="0"/>
              <w:autoSpaceDN w:val="0"/>
              <w:adjustRightInd w:val="0"/>
              <w:spacing w:after="0" w:line="240" w:lineRule="auto"/>
              <w:ind w:firstLine="360"/>
              <w:jc w:val="both"/>
              <w:rPr>
                <w:rFonts w:eastAsiaTheme="minorEastAsia"/>
                <w:b/>
                <w:sz w:val="20"/>
                <w:szCs w:val="20"/>
              </w:rPr>
            </w:pPr>
            <w:r w:rsidRPr="001941B0">
              <w:rPr>
                <w:rFonts w:eastAsiaTheme="minorEastAsia"/>
                <w:b/>
                <w:sz w:val="20"/>
                <w:szCs w:val="20"/>
              </w:rPr>
              <w:t xml:space="preserve">Ryzyko odpowiedzialności za szkody spowodowane przez działanie systemów AI dokonujących automatycznej interpretacji badania obrazowego. [...] </w:t>
            </w:r>
            <w:r w:rsidRPr="001941B0">
              <w:rPr>
                <w:rFonts w:eastAsiaTheme="minorEastAsia"/>
                <w:sz w:val="20"/>
                <w:szCs w:val="20"/>
              </w:rPr>
              <w:t xml:space="preserve">Jednocześnie należy podkreślić, że polskie przepisy prawa nie odnoszą się wprost do zasad odpowiedzialności za szkody wyrządzone przez systemy AI w procesie udzielania świadczeń zdrowotnych. W związku z powyższym, należy odnieść się do ogólnych zasad odpowiedzialności cywilnej, które będą miała zastosowanie per analogiam, do sytuacji, </w:t>
            </w:r>
            <w:r w:rsidRPr="001941B0">
              <w:rPr>
                <w:sz w:val="20"/>
                <w:szCs w:val="20"/>
              </w:rPr>
              <w:br/>
            </w:r>
            <w:r w:rsidRPr="001941B0">
              <w:rPr>
                <w:rFonts w:eastAsiaTheme="minorEastAsia"/>
                <w:sz w:val="20"/>
                <w:szCs w:val="20"/>
              </w:rPr>
              <w:t xml:space="preserve">w której powstanie szkody po stronie pacjenta będzie pozostawało w związku przyczynowo- skutkowym z działaniem systemów AI i wykorzystaniem wygenerowanego przez nie wyniku do podjęcia decyzji diagnostycznych lub terapeutycznych. </w:t>
            </w:r>
          </w:p>
          <w:p w14:paraId="4F5AE9DC" w14:textId="6A0315AD" w:rsidR="00306E53" w:rsidRPr="001941B0" w:rsidRDefault="00306E53" w:rsidP="006E0CB2">
            <w:pPr>
              <w:autoSpaceDE w:val="0"/>
              <w:autoSpaceDN w:val="0"/>
              <w:adjustRightInd w:val="0"/>
              <w:spacing w:after="0" w:line="240" w:lineRule="auto"/>
              <w:ind w:firstLine="708"/>
              <w:jc w:val="both"/>
              <w:rPr>
                <w:rFonts w:eastAsiaTheme="minorEastAsia"/>
                <w:sz w:val="20"/>
                <w:szCs w:val="20"/>
              </w:rPr>
            </w:pPr>
            <w:r w:rsidRPr="001941B0">
              <w:rPr>
                <w:rFonts w:eastAsiaTheme="minorEastAsia"/>
                <w:sz w:val="20"/>
                <w:szCs w:val="20"/>
              </w:rPr>
              <w:t xml:space="preserve">W przypadku, w którym w związku bądź w wyniku wykorzystywania przez lekarza systemu AI jako narzędzia wspomagającego, doszło do powstania szkody u pacjenta, jej naprawienie podlega zasadom ogólnym. W tym zakresie nie funkcjonują przepisy, które zaostrzałyby odpowiedzialność cywilną osoby wykonującej zawód medyczny lub podmiotu wykonującego działalność leczniczą, który go zatrudnia. Jeżeli osoba wykonująca zawód medyczny nie jest pracownikiem w rozumieniu art. 2 Ustawy kodeks pracy z 26.06.1974 r., tj. DzU 2025 r., poz. 277, ze zm. – dalej k.p., a co za tym idzie nie jest zwolniona od obowiązku kompensacyjnego na podstawie art. 120 k.p., powinna spełnić świadczenie odszkodowawcze na rzecz poszkodowanego (pacjenta). </w:t>
            </w:r>
          </w:p>
          <w:p w14:paraId="6B04322C" w14:textId="267FA51E" w:rsidR="00306E53" w:rsidRPr="001941B0" w:rsidRDefault="00306E53" w:rsidP="006E0CB2">
            <w:pPr>
              <w:autoSpaceDE w:val="0"/>
              <w:autoSpaceDN w:val="0"/>
              <w:adjustRightInd w:val="0"/>
              <w:spacing w:after="0" w:line="240" w:lineRule="auto"/>
              <w:ind w:firstLine="708"/>
              <w:jc w:val="both"/>
              <w:rPr>
                <w:rFonts w:eastAsiaTheme="minorEastAsia"/>
                <w:sz w:val="20"/>
                <w:szCs w:val="20"/>
              </w:rPr>
            </w:pPr>
            <w:r w:rsidRPr="001941B0">
              <w:rPr>
                <w:rFonts w:eastAsiaTheme="minorEastAsia"/>
                <w:sz w:val="20"/>
                <w:szCs w:val="20"/>
              </w:rPr>
              <w:t xml:space="preserve">Przedstawiciel zawodu medycznego, który nie jest pracownikiem (i jest zatrudniony  oparciu o umowę cywilnoprawną), ponosi odpowiedzialność odszkodowawczą za szkodę doznaną przez pacjenta na zasadach ogólnych, także w przypadku podjęcia działania zgodnie </w:t>
            </w:r>
            <w:r w:rsidRPr="001941B0">
              <w:rPr>
                <w:sz w:val="20"/>
                <w:szCs w:val="20"/>
              </w:rPr>
              <w:br/>
            </w:r>
            <w:r w:rsidRPr="001941B0">
              <w:rPr>
                <w:rFonts w:eastAsiaTheme="minorEastAsia"/>
                <w:sz w:val="20"/>
                <w:szCs w:val="20"/>
              </w:rPr>
              <w:t xml:space="preserve">z błędnymi wskazówkami systemu AI. Dla przyjęcia </w:t>
            </w:r>
            <w:r w:rsidRPr="001941B0">
              <w:rPr>
                <w:rFonts w:eastAsiaTheme="minorEastAsia"/>
                <w:sz w:val="20"/>
                <w:szCs w:val="20"/>
              </w:rPr>
              <w:lastRenderedPageBreak/>
              <w:t>odpowiedzialności konieczne jest wykazanie, że osoba wykonująca zawód medyczny mogła zauważyć błąd i przeciwdziałać mu w celu jego uniknięcia, na przykład przez skorygowanie działań systemu lub przerwanie czynności.</w:t>
            </w:r>
          </w:p>
          <w:p w14:paraId="0C04DB1B" w14:textId="65C51D3D" w:rsidR="00306E53" w:rsidRPr="001941B0" w:rsidRDefault="00306E53" w:rsidP="006E0CB2">
            <w:pPr>
              <w:autoSpaceDE w:val="0"/>
              <w:autoSpaceDN w:val="0"/>
              <w:adjustRightInd w:val="0"/>
              <w:spacing w:after="0" w:line="240" w:lineRule="auto"/>
              <w:ind w:firstLine="708"/>
              <w:jc w:val="both"/>
              <w:rPr>
                <w:rFonts w:eastAsiaTheme="minorEastAsia"/>
                <w:color w:val="000000" w:themeColor="text1"/>
                <w:sz w:val="20"/>
                <w:szCs w:val="20"/>
              </w:rPr>
            </w:pPr>
            <w:r w:rsidRPr="001941B0">
              <w:rPr>
                <w:rFonts w:eastAsiaTheme="minorEastAsia"/>
                <w:color w:val="000000" w:themeColor="text1"/>
                <w:sz w:val="20"/>
                <w:szCs w:val="20"/>
              </w:rPr>
              <w:t>Kontekst odpowiedzialności deliktowej za działania AI należy rozważyć, mając na uwadze poziom autonomii systemu AI, a tym samym odnieść ją do reguł odpowiedzialności na zasadzie winy, ryzyka, słuszności, a także zasady gwarancyjnej.</w:t>
            </w:r>
          </w:p>
          <w:p w14:paraId="38CE7E87" w14:textId="74B7B93F" w:rsidR="00306E53" w:rsidRPr="001941B0" w:rsidRDefault="00306E53" w:rsidP="006E0CB2">
            <w:pPr>
              <w:autoSpaceDE w:val="0"/>
              <w:autoSpaceDN w:val="0"/>
              <w:adjustRightInd w:val="0"/>
              <w:spacing w:after="0" w:line="240" w:lineRule="auto"/>
              <w:ind w:firstLine="708"/>
              <w:jc w:val="both"/>
              <w:rPr>
                <w:rFonts w:eastAsiaTheme="minorEastAsia"/>
                <w:color w:val="000000" w:themeColor="text1"/>
                <w:sz w:val="20"/>
                <w:szCs w:val="20"/>
              </w:rPr>
            </w:pPr>
            <w:r w:rsidRPr="001941B0">
              <w:rPr>
                <w:rFonts w:eastAsiaTheme="minorEastAsia"/>
                <w:color w:val="000000" w:themeColor="text1"/>
                <w:sz w:val="20"/>
                <w:szCs w:val="20"/>
              </w:rPr>
              <w:t>[...]</w:t>
            </w:r>
          </w:p>
          <w:p w14:paraId="04DEE05C" w14:textId="54AC673A" w:rsidR="00306E53" w:rsidRPr="001941B0" w:rsidRDefault="00306E53" w:rsidP="006E0CB2">
            <w:pPr>
              <w:autoSpaceDE w:val="0"/>
              <w:autoSpaceDN w:val="0"/>
              <w:adjustRightInd w:val="0"/>
              <w:spacing w:after="0" w:line="240" w:lineRule="auto"/>
              <w:ind w:firstLine="708"/>
              <w:jc w:val="both"/>
              <w:rPr>
                <w:rFonts w:eastAsiaTheme="minorEastAsia"/>
                <w:sz w:val="20"/>
                <w:szCs w:val="20"/>
              </w:rPr>
            </w:pPr>
            <w:r w:rsidRPr="001941B0">
              <w:rPr>
                <w:rFonts w:eastAsiaTheme="minorEastAsia"/>
                <w:sz w:val="20"/>
                <w:szCs w:val="20"/>
              </w:rPr>
              <w:t xml:space="preserve">Reasumując, odpowiedzialność za potencjalne szkody wyrządzone przez system AI podejmujący zautomatyzowane decyzje w przedmiocie oceny badania obrazowego obciąża użytkownika systemu, któremu można przypisać obiektywny i subiektywny element winy </w:t>
            </w:r>
            <w:r w:rsidRPr="001941B0">
              <w:rPr>
                <w:sz w:val="20"/>
                <w:szCs w:val="20"/>
              </w:rPr>
              <w:br/>
            </w:r>
            <w:r w:rsidRPr="001941B0">
              <w:rPr>
                <w:rFonts w:eastAsiaTheme="minorEastAsia"/>
                <w:sz w:val="20"/>
                <w:szCs w:val="20"/>
              </w:rPr>
              <w:t>w nadzorze – tj. osobie wykonującej zawód medyczny</w:t>
            </w:r>
          </w:p>
        </w:tc>
        <w:tc>
          <w:tcPr>
            <w:tcW w:w="2855" w:type="dxa"/>
            <w:shd w:val="clear" w:color="auto" w:fill="FFFFFF" w:themeFill="background1"/>
          </w:tcPr>
          <w:p w14:paraId="4D400606" w14:textId="5D6D7371" w:rsidR="00306E53" w:rsidRPr="001941B0" w:rsidRDefault="007D370A"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3FD57057" w14:textId="1B5DAE29" w:rsidR="003604BB" w:rsidRPr="001941B0" w:rsidRDefault="00EB7F13" w:rsidP="003604BB">
            <w:pPr>
              <w:autoSpaceDE w:val="0"/>
              <w:autoSpaceDN w:val="0"/>
              <w:adjustRightInd w:val="0"/>
              <w:spacing w:after="0" w:line="240" w:lineRule="auto"/>
              <w:rPr>
                <w:rFonts w:cstheme="minorHAnsi"/>
                <w:sz w:val="20"/>
                <w:szCs w:val="20"/>
              </w:rPr>
            </w:pPr>
            <w:r w:rsidRPr="001941B0">
              <w:rPr>
                <w:rFonts w:cstheme="minorHAnsi"/>
                <w:sz w:val="20"/>
                <w:szCs w:val="20"/>
              </w:rPr>
              <w:t>PUI</w:t>
            </w:r>
            <w:r w:rsidR="003A5E4E" w:rsidRPr="001941B0">
              <w:rPr>
                <w:rFonts w:cstheme="minorHAnsi"/>
                <w:sz w:val="20"/>
                <w:szCs w:val="20"/>
              </w:rPr>
              <w:t xml:space="preserve"> (udostępnione przez PUI narzędzia AI)</w:t>
            </w:r>
            <w:r w:rsidR="003604BB" w:rsidRPr="001941B0">
              <w:rPr>
                <w:rFonts w:cstheme="minorHAnsi"/>
                <w:sz w:val="20"/>
                <w:szCs w:val="20"/>
              </w:rPr>
              <w:t xml:space="preserve"> wsp</w:t>
            </w:r>
            <w:r w:rsidR="003A5E4E" w:rsidRPr="001941B0">
              <w:rPr>
                <w:rFonts w:cstheme="minorHAnsi"/>
                <w:sz w:val="20"/>
                <w:szCs w:val="20"/>
              </w:rPr>
              <w:t xml:space="preserve">iera </w:t>
            </w:r>
            <w:r w:rsidR="003604BB" w:rsidRPr="001941B0">
              <w:rPr>
                <w:rFonts w:cstheme="minorHAnsi"/>
                <w:sz w:val="20"/>
                <w:szCs w:val="20"/>
              </w:rPr>
              <w:t>proces diagnostyczn</w:t>
            </w:r>
            <w:r w:rsidR="003A5E4E" w:rsidRPr="001941B0">
              <w:rPr>
                <w:rFonts w:cstheme="minorHAnsi"/>
                <w:sz w:val="20"/>
                <w:szCs w:val="20"/>
              </w:rPr>
              <w:t>y</w:t>
            </w:r>
            <w:r w:rsidR="003604BB" w:rsidRPr="001941B0">
              <w:rPr>
                <w:rFonts w:cstheme="minorHAnsi"/>
                <w:sz w:val="20"/>
                <w:szCs w:val="20"/>
              </w:rPr>
              <w:t>. Wszystkie wyniki pochodzące z algorytmów SI są danymi pomocniczymi w procesie diagnostycznym i nie stanowią jego ostatecznego wyniku rezultatu</w:t>
            </w:r>
            <w:r w:rsidR="00923E08" w:rsidRPr="001941B0">
              <w:rPr>
                <w:rFonts w:cstheme="minorHAnsi"/>
                <w:sz w:val="20"/>
                <w:szCs w:val="20"/>
              </w:rPr>
              <w:t>, której w</w:t>
            </w:r>
            <w:r w:rsidR="003604BB" w:rsidRPr="001941B0">
              <w:rPr>
                <w:rFonts w:cstheme="minorHAnsi"/>
                <w:sz w:val="20"/>
                <w:szCs w:val="20"/>
              </w:rPr>
              <w:t xml:space="preserve">eryfikacji dokonuje </w:t>
            </w:r>
            <w:r w:rsidR="00F906E0" w:rsidRPr="001941B0">
              <w:rPr>
                <w:rFonts w:cstheme="minorHAnsi"/>
                <w:sz w:val="20"/>
                <w:szCs w:val="20"/>
              </w:rPr>
              <w:t>lekarz.</w:t>
            </w:r>
          </w:p>
          <w:p w14:paraId="5B335633" w14:textId="77777777" w:rsidR="007D370A" w:rsidRPr="001941B0" w:rsidRDefault="007D370A" w:rsidP="006E0CB2">
            <w:pPr>
              <w:autoSpaceDE w:val="0"/>
              <w:autoSpaceDN w:val="0"/>
              <w:adjustRightInd w:val="0"/>
              <w:spacing w:after="0" w:line="240" w:lineRule="auto"/>
              <w:rPr>
                <w:rFonts w:cstheme="minorHAnsi"/>
                <w:sz w:val="20"/>
                <w:szCs w:val="20"/>
              </w:rPr>
            </w:pPr>
          </w:p>
          <w:p w14:paraId="7551D51A" w14:textId="1F372350" w:rsidR="00306E53" w:rsidRPr="001941B0" w:rsidRDefault="00306E53" w:rsidP="006E0CB2">
            <w:pPr>
              <w:autoSpaceDE w:val="0"/>
              <w:autoSpaceDN w:val="0"/>
              <w:adjustRightInd w:val="0"/>
              <w:spacing w:after="0" w:line="240" w:lineRule="auto"/>
              <w:rPr>
                <w:sz w:val="20"/>
                <w:szCs w:val="20"/>
              </w:rPr>
            </w:pPr>
          </w:p>
        </w:tc>
      </w:tr>
      <w:tr w:rsidR="00FC7212" w:rsidRPr="001941B0" w14:paraId="5D7C7769" w14:textId="77777777" w:rsidTr="7139DBB9">
        <w:tc>
          <w:tcPr>
            <w:tcW w:w="1125" w:type="dxa"/>
            <w:shd w:val="clear" w:color="auto" w:fill="FFFFFF" w:themeFill="background1"/>
          </w:tcPr>
          <w:p w14:paraId="18408C16"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7899BF6" w14:textId="3035D1AF" w:rsidR="00306E53" w:rsidRPr="001941B0" w:rsidRDefault="00306E53" w:rsidP="006E0CB2">
            <w:pPr>
              <w:spacing w:after="0" w:line="240" w:lineRule="auto"/>
              <w:rPr>
                <w:rFonts w:cs="Calibri"/>
                <w:sz w:val="20"/>
                <w:szCs w:val="20"/>
              </w:rPr>
            </w:pPr>
            <w:r w:rsidRPr="001941B0">
              <w:rPr>
                <w:rFonts w:cs="Calibri"/>
                <w:sz w:val="20"/>
                <w:szCs w:val="20"/>
              </w:rPr>
              <w:t>Polskie Lekarskie Towarzystwo Radiologiczne</w:t>
            </w:r>
          </w:p>
        </w:tc>
        <w:tc>
          <w:tcPr>
            <w:tcW w:w="1949" w:type="dxa"/>
            <w:shd w:val="clear" w:color="auto" w:fill="FFFFFF" w:themeFill="background1"/>
          </w:tcPr>
          <w:p w14:paraId="66CB4BA9" w14:textId="6E96D6D3"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Art 5 pkt 17 (PUI)</w:t>
            </w:r>
          </w:p>
          <w:p w14:paraId="25ACAB2B" w14:textId="2A8E6C1B"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 xml:space="preserve">Wnioski </w:t>
            </w:r>
          </w:p>
          <w:p w14:paraId="1D576583" w14:textId="514E2B91" w:rsidR="004E53EC" w:rsidRPr="001941B0" w:rsidRDefault="004E53EC" w:rsidP="006E0CB2">
            <w:pPr>
              <w:spacing w:after="0" w:line="240" w:lineRule="auto"/>
              <w:rPr>
                <w:rFonts w:eastAsiaTheme="minorEastAsia"/>
                <w:sz w:val="20"/>
                <w:szCs w:val="20"/>
              </w:rPr>
            </w:pPr>
          </w:p>
          <w:p w14:paraId="010DE322" w14:textId="1B7A1A63" w:rsidR="00306E53" w:rsidRPr="001941B0" w:rsidRDefault="00306E53" w:rsidP="006E0CB2">
            <w:pPr>
              <w:spacing w:after="0" w:line="240" w:lineRule="auto"/>
              <w:rPr>
                <w:rFonts w:eastAsiaTheme="minorEastAsia"/>
                <w:sz w:val="20"/>
                <w:szCs w:val="20"/>
              </w:rPr>
            </w:pPr>
          </w:p>
        </w:tc>
        <w:tc>
          <w:tcPr>
            <w:tcW w:w="5652" w:type="dxa"/>
            <w:shd w:val="clear" w:color="auto" w:fill="FFFFFF" w:themeFill="background1"/>
          </w:tcPr>
          <w:p w14:paraId="3CC0182D" w14:textId="5EE0C74D" w:rsidR="00306E53" w:rsidRPr="001941B0" w:rsidRDefault="00306E53"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Wnioski</w:t>
            </w:r>
          </w:p>
          <w:p w14:paraId="5AA567A5" w14:textId="61602308" w:rsidR="00306E53" w:rsidRPr="001941B0" w:rsidRDefault="00306E53" w:rsidP="006E0CB2">
            <w:pPr>
              <w:autoSpaceDE w:val="0"/>
              <w:autoSpaceDN w:val="0"/>
              <w:adjustRightInd w:val="0"/>
              <w:spacing w:after="0" w:line="240" w:lineRule="auto"/>
              <w:rPr>
                <w:rFonts w:eastAsiaTheme="minorEastAsia"/>
                <w:b/>
                <w:sz w:val="20"/>
                <w:szCs w:val="20"/>
              </w:rPr>
            </w:pPr>
            <w:r w:rsidRPr="001941B0">
              <w:rPr>
                <w:rFonts w:eastAsiaTheme="minorEastAsia"/>
                <w:b/>
                <w:sz w:val="20"/>
                <w:szCs w:val="20"/>
              </w:rPr>
              <w:t>Projekt u.e.z., w przedmiocie funkcjonowania PUI należy ocenić krytycznie mając na uwadze:</w:t>
            </w:r>
          </w:p>
          <w:p w14:paraId="4A44491F" w14:textId="09951196"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b/>
                <w:sz w:val="20"/>
                <w:szCs w:val="20"/>
              </w:rPr>
              <w:t xml:space="preserve">a.    </w:t>
            </w:r>
            <w:r w:rsidRPr="001941B0">
              <w:rPr>
                <w:rFonts w:eastAsiaTheme="minorEastAsia"/>
                <w:sz w:val="20"/>
                <w:szCs w:val="20"/>
              </w:rPr>
              <w:t xml:space="preserve">  Brak określenia jasnych reguł i informacji dostarczanych klinicystom w zakresie zasad i drogi dochodzenia przez systemy AI do wniosków stanowiących podstawę oceny badania obrazowego (tzw. problem czarnej skrzynki), </w:t>
            </w:r>
          </w:p>
          <w:p w14:paraId="55BFAA6B" w14:textId="30AD950F" w:rsidR="00306E53" w:rsidRPr="001941B0" w:rsidRDefault="00306E53" w:rsidP="006E0CB2">
            <w:pPr>
              <w:autoSpaceDE w:val="0"/>
              <w:autoSpaceDN w:val="0"/>
              <w:adjustRightInd w:val="0"/>
              <w:spacing w:after="0" w:line="240" w:lineRule="auto"/>
              <w:rPr>
                <w:rFonts w:eastAsiaTheme="minorEastAsia"/>
                <w:color w:val="000000" w:themeColor="text1"/>
                <w:sz w:val="20"/>
                <w:szCs w:val="20"/>
              </w:rPr>
            </w:pPr>
            <w:r w:rsidRPr="001941B0">
              <w:rPr>
                <w:rFonts w:eastAsiaTheme="minorEastAsia"/>
                <w:color w:val="000000" w:themeColor="text1"/>
                <w:sz w:val="20"/>
                <w:szCs w:val="20"/>
              </w:rPr>
              <w:t xml:space="preserve">b.     Brak określenia podmiotów certyfikujących, jak również kwestii związanych z walidacją danych w odniesieniu do populacji krajowej. </w:t>
            </w:r>
          </w:p>
          <w:p w14:paraId="7BDF8496" w14:textId="1476806E" w:rsidR="00306E53" w:rsidRPr="001941B0" w:rsidRDefault="00306E53" w:rsidP="006E0CB2">
            <w:pPr>
              <w:autoSpaceDE w:val="0"/>
              <w:autoSpaceDN w:val="0"/>
              <w:adjustRightInd w:val="0"/>
              <w:spacing w:after="0" w:line="240" w:lineRule="auto"/>
              <w:rPr>
                <w:rFonts w:eastAsiaTheme="minorEastAsia"/>
                <w:color w:val="000000" w:themeColor="text1"/>
                <w:sz w:val="20"/>
                <w:szCs w:val="20"/>
              </w:rPr>
            </w:pPr>
            <w:r w:rsidRPr="001941B0">
              <w:rPr>
                <w:rFonts w:eastAsiaTheme="minorEastAsia"/>
                <w:color w:val="000000" w:themeColor="text1"/>
                <w:sz w:val="20"/>
                <w:szCs w:val="20"/>
              </w:rPr>
              <w:t>c.      Brak wskazania charakterystyki systemów AI dokonujących interpretacji danych, w tym zakresu ich autonomii i poziomu samodoskonalenia.</w:t>
            </w:r>
          </w:p>
          <w:p w14:paraId="2997A4FA" w14:textId="500A86FE"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d.     Brak regulacji prawnych odnoszących się do dopuszczalności wykonywania świadczeń zdrowotnych, w tym oceny badań obrazowych przez system AI, zamiast przez osobę wykonującą zawód medyczny.</w:t>
            </w:r>
          </w:p>
          <w:p w14:paraId="3C81FCBF" w14:textId="61AECF7A" w:rsidR="00306E53" w:rsidRPr="001941B0" w:rsidRDefault="00306E53" w:rsidP="006E0CB2">
            <w:pPr>
              <w:autoSpaceDE w:val="0"/>
              <w:autoSpaceDN w:val="0"/>
              <w:adjustRightInd w:val="0"/>
              <w:spacing w:after="0" w:line="240" w:lineRule="auto"/>
              <w:rPr>
                <w:rFonts w:eastAsiaTheme="minorEastAsia"/>
                <w:color w:val="000000" w:themeColor="text1"/>
                <w:sz w:val="20"/>
                <w:szCs w:val="20"/>
              </w:rPr>
            </w:pPr>
            <w:r w:rsidRPr="001941B0">
              <w:rPr>
                <w:rFonts w:eastAsiaTheme="minorEastAsia"/>
                <w:color w:val="000000" w:themeColor="text1"/>
                <w:sz w:val="20"/>
                <w:szCs w:val="20"/>
              </w:rPr>
              <w:t xml:space="preserve">e.      Odniesienie reguł związanych z wykorzystywaniem narzędzi wspomagających PUI przez lekarzy radiologów i elektroradiologów, bez uwzględnienia braku kompetencji tych ostatnich do weryfikacji i oceny badań obrazowych. </w:t>
            </w:r>
          </w:p>
          <w:p w14:paraId="466C941C" w14:textId="1D58050C"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lastRenderedPageBreak/>
              <w:t>f.      Brak wyraźnych regulacji prawnych odnoszących się do zasad wyrażania zgody przez uprawniony podmiot, na wykonanie świadczeń zdrowotnych z wykorzystaniem systemów AI.</w:t>
            </w:r>
          </w:p>
          <w:p w14:paraId="695E7F6F" w14:textId="03B168CE"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g.     Brak jednoznacznych reguł odpowiedzialności cywilnej za szkody wyrządzone przez systemy AI, które podejmują zautomatyzowane decyzje w oparciu o interpretację, na podstawie zgromadzonych danych, których walidacja nie została określona.</w:t>
            </w:r>
          </w:p>
          <w:p w14:paraId="00052DCE" w14:textId="64E7B368"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h.     Brak nadzoru specjalistów w dziedzinie radiologii nad bazą danych, w oparciu, o które podejmowane są zautomatyzowane decyzje w przedmiocie oceny badania obrazowego.</w:t>
            </w:r>
          </w:p>
          <w:p w14:paraId="26D01A39" w14:textId="4E0BF604"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 xml:space="preserve">i.       Ryzyko związane z odpowiedzialnością cywilną osób wykonujących zawody medyczne i podmiotów wykonujących działalność leczniczą za potencjalne szkody wynikłe ze zautomatyzowanego działania systemów AI, w tym odpowiedzialności za winę w nadzorze. </w:t>
            </w:r>
          </w:p>
          <w:p w14:paraId="7C2D2A9F" w14:textId="6C22C4E1"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sz w:val="20"/>
                <w:szCs w:val="20"/>
              </w:rPr>
              <w:t>j. Ryzyko naruszenia zasad udzielania świadczeń zdrowotnych z dołożeniem należytej staranności, co wpływa bezpośrednio na jakość udzielanych świadczeń i optymalizację bezpieczeństwa pacjenta.</w:t>
            </w:r>
          </w:p>
          <w:p w14:paraId="5AFA5449" w14:textId="648BFB43" w:rsidR="00306E53" w:rsidRPr="001941B0" w:rsidRDefault="00306E53" w:rsidP="006E0CB2">
            <w:pPr>
              <w:autoSpaceDE w:val="0"/>
              <w:autoSpaceDN w:val="0"/>
              <w:adjustRightInd w:val="0"/>
              <w:spacing w:after="0" w:line="240" w:lineRule="auto"/>
              <w:rPr>
                <w:rFonts w:eastAsiaTheme="minorEastAsia"/>
                <w:sz w:val="20"/>
                <w:szCs w:val="20"/>
              </w:rPr>
            </w:pPr>
          </w:p>
          <w:p w14:paraId="3D732C05" w14:textId="49EC5ED9"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b/>
                <w:color w:val="000000" w:themeColor="text1"/>
                <w:sz w:val="20"/>
                <w:szCs w:val="20"/>
              </w:rPr>
              <w:t>Mając na uwadze powyższe, koniecznym jest uwzględnienie w treści projektu u.e.z., następujących zmiennych:</w:t>
            </w:r>
          </w:p>
          <w:p w14:paraId="2DBD574B" w14:textId="262BC261"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a.      Określenie prawnego charakteru narzędzi wspomagających, które wykorzystują systemy AI do automatycznej oceny badań obrazowych.</w:t>
            </w:r>
          </w:p>
          <w:p w14:paraId="6BD0BBF8" w14:textId="2D32BAA1"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b.     Określenie zakresu i reżimu odpowiedzialności osób wykonujących zawody medyczne, które korzystają z narzędzi wspomagających PUI.</w:t>
            </w:r>
          </w:p>
          <w:p w14:paraId="28693149" w14:textId="78BA963F"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c.      Określenie reguł audytu i walidacji danych wejściowych wykorzystywanych przez system AI do automatycznej oceny badań obrazowych.</w:t>
            </w:r>
          </w:p>
          <w:p w14:paraId="1EE14CFF" w14:textId="3D47760E"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 xml:space="preserve">d.     Usunięcie z treści projektu u.e.z., grupy zawodowej elektroradiologów wskazanych aktualnie jako osoby </w:t>
            </w:r>
            <w:r w:rsidRPr="001941B0">
              <w:rPr>
                <w:rFonts w:eastAsiaTheme="minorEastAsia"/>
                <w:color w:val="000000" w:themeColor="text1"/>
                <w:sz w:val="20"/>
                <w:szCs w:val="20"/>
              </w:rPr>
              <w:lastRenderedPageBreak/>
              <w:t xml:space="preserve">uprawnione do pozyskiwania wyników generowanych przez system AI. </w:t>
            </w:r>
          </w:p>
          <w:p w14:paraId="789D8143" w14:textId="1109F2FE"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 xml:space="preserve">e.      Określenie prawnych reguł funkcjonowania systemów AI i wskazanie poziomu ich autonomii oraz zakresu samo uczenia się. </w:t>
            </w:r>
          </w:p>
          <w:p w14:paraId="598D8208" w14:textId="7DE63FCF"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f.      Określenie reguł wyrażania przez uprawniony podmiot zgody na świadczenie zdrowotne wykonywane z wykorzystaniem systemów AI. g.     Określenie prawnego charakteru dokumentu (wyniku badania) generowanego przez system AI w przedmiocie oceny badania obrazowego.</w:t>
            </w:r>
          </w:p>
          <w:p w14:paraId="1DFEF6CA" w14:textId="1F3E6E8A"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h.     Uwzględnienie w treści projektu u.e.z., zapisu, że wyniki generowane przez narzędzia wspomagające nie stanowią wiążącej zmiennej w procesie diagnostycznym, a ostateczna decyzja dotycząca wyniku badania obrazowego należy każdorazowo do lekarza radiologia, którego obowiązkiem jest indywidualna ocena badania.</w:t>
            </w:r>
          </w:p>
          <w:p w14:paraId="0652DA22" w14:textId="23E3F644" w:rsidR="00306E53" w:rsidRPr="001941B0" w:rsidRDefault="00306E53" w:rsidP="006E0CB2">
            <w:pPr>
              <w:autoSpaceDE w:val="0"/>
              <w:autoSpaceDN w:val="0"/>
              <w:adjustRightInd w:val="0"/>
              <w:spacing w:after="0" w:line="240" w:lineRule="auto"/>
              <w:rPr>
                <w:rFonts w:eastAsiaTheme="minorEastAsia"/>
                <w:sz w:val="20"/>
                <w:szCs w:val="20"/>
              </w:rPr>
            </w:pPr>
            <w:r w:rsidRPr="001941B0">
              <w:rPr>
                <w:rFonts w:eastAsiaTheme="minorEastAsia"/>
                <w:color w:val="000000" w:themeColor="text1"/>
                <w:sz w:val="20"/>
                <w:szCs w:val="20"/>
              </w:rPr>
              <w:t xml:space="preserve"> i.       Określenie zasad udzielania świadczeń zdrowotnych przez czynnik poza ludzki.</w:t>
            </w:r>
          </w:p>
        </w:tc>
        <w:tc>
          <w:tcPr>
            <w:tcW w:w="2855" w:type="dxa"/>
            <w:shd w:val="clear" w:color="auto" w:fill="FFFFFF" w:themeFill="background1"/>
          </w:tcPr>
          <w:p w14:paraId="723A362E" w14:textId="77777777" w:rsidR="00306E53" w:rsidRPr="001941B0" w:rsidRDefault="00F906E0"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Uwagi o charakterze komentarza</w:t>
            </w:r>
          </w:p>
          <w:p w14:paraId="338702A0" w14:textId="1570F0E4" w:rsidR="00306E53" w:rsidRPr="001941B0" w:rsidRDefault="00AE4396" w:rsidP="006E0CB2">
            <w:pPr>
              <w:autoSpaceDE w:val="0"/>
              <w:autoSpaceDN w:val="0"/>
              <w:adjustRightInd w:val="0"/>
              <w:spacing w:after="0" w:line="240" w:lineRule="auto"/>
              <w:rPr>
                <w:sz w:val="20"/>
                <w:szCs w:val="20"/>
              </w:rPr>
            </w:pPr>
            <w:r w:rsidRPr="001941B0">
              <w:rPr>
                <w:sz w:val="20"/>
                <w:szCs w:val="20"/>
              </w:rPr>
              <w:t>Wyjaśnieni</w:t>
            </w:r>
            <w:r w:rsidR="00BF3D2C" w:rsidRPr="001941B0">
              <w:rPr>
                <w:sz w:val="20"/>
                <w:szCs w:val="20"/>
              </w:rPr>
              <w:t xml:space="preserve">a </w:t>
            </w:r>
            <w:r w:rsidRPr="001941B0">
              <w:rPr>
                <w:sz w:val="20"/>
                <w:szCs w:val="20"/>
              </w:rPr>
              <w:t>znajduj</w:t>
            </w:r>
            <w:r w:rsidR="00BF3D2C" w:rsidRPr="001941B0">
              <w:rPr>
                <w:sz w:val="20"/>
                <w:szCs w:val="20"/>
              </w:rPr>
              <w:t>ą</w:t>
            </w:r>
            <w:r w:rsidRPr="001941B0">
              <w:rPr>
                <w:sz w:val="20"/>
                <w:szCs w:val="20"/>
              </w:rPr>
              <w:t xml:space="preserve"> się w pkt </w:t>
            </w:r>
            <w:r w:rsidR="008D461F" w:rsidRPr="001941B0">
              <w:rPr>
                <w:sz w:val="20"/>
                <w:szCs w:val="20"/>
              </w:rPr>
              <w:t>1</w:t>
            </w:r>
            <w:r w:rsidR="00FD378B" w:rsidRPr="001941B0">
              <w:rPr>
                <w:sz w:val="20"/>
                <w:szCs w:val="20"/>
              </w:rPr>
              <w:t>52</w:t>
            </w:r>
            <w:r w:rsidR="00687AA2" w:rsidRPr="001941B0">
              <w:rPr>
                <w:sz w:val="20"/>
                <w:szCs w:val="20"/>
              </w:rPr>
              <w:t xml:space="preserve"> – 1</w:t>
            </w:r>
            <w:r w:rsidR="00FD378B" w:rsidRPr="001941B0">
              <w:rPr>
                <w:sz w:val="20"/>
                <w:szCs w:val="20"/>
              </w:rPr>
              <w:t>57</w:t>
            </w:r>
            <w:r w:rsidR="00687AA2" w:rsidRPr="001941B0">
              <w:rPr>
                <w:sz w:val="20"/>
                <w:szCs w:val="20"/>
              </w:rPr>
              <w:t>.</w:t>
            </w:r>
            <w:r w:rsidR="003648FA" w:rsidRPr="001941B0">
              <w:rPr>
                <w:sz w:val="20"/>
                <w:szCs w:val="20"/>
              </w:rPr>
              <w:t xml:space="preserve"> </w:t>
            </w:r>
          </w:p>
        </w:tc>
      </w:tr>
      <w:tr w:rsidR="00FC7212" w:rsidRPr="001941B0" w14:paraId="1706AD41" w14:textId="77777777" w:rsidTr="7139DBB9">
        <w:tc>
          <w:tcPr>
            <w:tcW w:w="1125" w:type="dxa"/>
            <w:shd w:val="clear" w:color="auto" w:fill="FFFFFF" w:themeFill="background1"/>
          </w:tcPr>
          <w:p w14:paraId="0D74FDD4"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C3A6889" w14:textId="60429CFA" w:rsidR="00306E53" w:rsidRPr="001941B0" w:rsidRDefault="00306E53" w:rsidP="006E0CB2">
            <w:pPr>
              <w:spacing w:after="0" w:line="240" w:lineRule="auto"/>
              <w:rPr>
                <w:rFonts w:cs="Calibri"/>
                <w:sz w:val="20"/>
                <w:szCs w:val="20"/>
              </w:rPr>
            </w:pPr>
            <w:r w:rsidRPr="001941B0">
              <w:rPr>
                <w:rFonts w:cs="Calibri"/>
                <w:sz w:val="20"/>
                <w:szCs w:val="20"/>
              </w:rPr>
              <w:t>Naczelna Izba Lekarska</w:t>
            </w:r>
          </w:p>
        </w:tc>
        <w:tc>
          <w:tcPr>
            <w:tcW w:w="1949" w:type="dxa"/>
            <w:shd w:val="clear" w:color="auto" w:fill="FFFFFF" w:themeFill="background1"/>
          </w:tcPr>
          <w:p w14:paraId="310B3247" w14:textId="77777777" w:rsidR="00306E53" w:rsidRPr="001941B0" w:rsidRDefault="00306E53" w:rsidP="006E0CB2">
            <w:pPr>
              <w:spacing w:after="0" w:line="240" w:lineRule="auto"/>
              <w:rPr>
                <w:rFonts w:eastAsiaTheme="minorEastAsia"/>
                <w:sz w:val="20"/>
                <w:szCs w:val="20"/>
              </w:rPr>
            </w:pPr>
            <w:r w:rsidRPr="001941B0">
              <w:rPr>
                <w:rFonts w:eastAsiaTheme="minorEastAsia"/>
                <w:sz w:val="20"/>
                <w:szCs w:val="20"/>
              </w:rPr>
              <w:t>Art. 5 pkt 17</w:t>
            </w:r>
          </w:p>
          <w:p w14:paraId="7E63A366" w14:textId="77777777" w:rsidR="004A4490" w:rsidRPr="001941B0" w:rsidRDefault="004A4490" w:rsidP="006E0CB2">
            <w:pPr>
              <w:spacing w:after="0" w:line="240" w:lineRule="auto"/>
              <w:rPr>
                <w:rFonts w:eastAsiaTheme="minorEastAsia"/>
                <w:sz w:val="20"/>
                <w:szCs w:val="20"/>
              </w:rPr>
            </w:pPr>
          </w:p>
          <w:p w14:paraId="47C9244A" w14:textId="21C1428A" w:rsidR="00306E53" w:rsidRPr="001941B0" w:rsidRDefault="00306E53" w:rsidP="006E0CB2">
            <w:pPr>
              <w:spacing w:after="0" w:line="240" w:lineRule="auto"/>
              <w:rPr>
                <w:rFonts w:eastAsiaTheme="minorEastAsia"/>
                <w:sz w:val="20"/>
                <w:szCs w:val="20"/>
              </w:rPr>
            </w:pPr>
          </w:p>
        </w:tc>
        <w:tc>
          <w:tcPr>
            <w:tcW w:w="5652" w:type="dxa"/>
            <w:shd w:val="clear" w:color="auto" w:fill="FFFFFF" w:themeFill="background1"/>
          </w:tcPr>
          <w:p w14:paraId="0A820088" w14:textId="6BD7CCF9" w:rsidR="00306E53" w:rsidRPr="001941B0" w:rsidRDefault="00306E53" w:rsidP="006E0CB2">
            <w:pPr>
              <w:spacing w:after="0" w:line="240" w:lineRule="auto"/>
              <w:ind w:right="115"/>
              <w:rPr>
                <w:rFonts w:eastAsiaTheme="minorEastAsia"/>
                <w:sz w:val="20"/>
                <w:szCs w:val="20"/>
              </w:rPr>
            </w:pPr>
            <w:r w:rsidRPr="001941B0">
              <w:rPr>
                <w:rFonts w:eastAsiaTheme="minorEastAsia"/>
                <w:sz w:val="20"/>
                <w:szCs w:val="20"/>
              </w:rPr>
              <w:t xml:space="preserve">Wątpliwości budzi także art. 5 pkt 17 projektu ustawy, który przewiduje dodanie w ustawie z dnia 28 kwietnia 2011 r. o systemie informacji w ochronie zdrowia rozdziału 5a pn. „Platforma Usług Inteligentnych”. W założeniu projektodawcy będzie to narzędzie wspomagające podejmowanie decyzji przez lekarzy w oparciu o algorytmy sztucznej inteligencji. System teleinformatyczny umożliwiający szpitalom dostęp do piersiowej, wykrywania zmian niedokrwiennych i krwotocznych w badaniach obrazowych mózgu, diagnostyki zmian pourazowych układu kostnego w badaniach radiologii klasycznej (RTG), wykrywania zmian nowotworowych piersi (Mammografia), wykrywania zmian patologicznych w RTG klatki piersiowej. Do Platformy będą przekazywane badania obrazowe, które następnie zostaną poddane interpretacji wykonanej przez algorytm sztucznej inteligencji, a lekarze i elektroradiolodzy będą mogli w krótkim czasie otrzymać interpretację wyniku wykonaną przez algorytm sztucznej inteligencji. Wydaje się, że sama nazwa rozdziału 5a jest nieodpowiednia — należałoby doprecyzować, że jest to </w:t>
            </w:r>
            <w:r w:rsidRPr="001941B0">
              <w:rPr>
                <w:rFonts w:eastAsiaTheme="minorEastAsia"/>
                <w:sz w:val="20"/>
                <w:szCs w:val="20"/>
              </w:rPr>
              <w:lastRenderedPageBreak/>
              <w:t xml:space="preserve">„Platforma Usług </w:t>
            </w:r>
            <w:r w:rsidRPr="001941B0">
              <w:rPr>
                <w:rFonts w:eastAsiaTheme="minorEastAsia"/>
                <w:sz w:val="20"/>
                <w:szCs w:val="20"/>
                <w:u w:val="single"/>
              </w:rPr>
              <w:t>Sztucznej</w:t>
            </w:r>
            <w:r w:rsidRPr="001941B0">
              <w:rPr>
                <w:rFonts w:eastAsiaTheme="minorEastAsia"/>
                <w:sz w:val="20"/>
                <w:szCs w:val="20"/>
              </w:rPr>
              <w:t xml:space="preserve"> Inteligencji” a nie „Platforma Usług Inteligentnych”. Co ważniejsze jednak - wprowadzenie takiego narzędzia na szczeblu ustawowym powinno być poprzedzone okresem pilotażu oraz obudowane przepisami wyznaczającymi zakres odpowiedzialności placówki medycznej i lekarza korzystających z tego narzędzia. W ustawie brak przepisów zbliżonych w treści do brzmienia art. 12 Kodeksu Etyki Lekarskiej, który przewidując możliwość korzystania przez lekarzy z algorytmów sztucznej inteligencji w postępowaniu diagnostycznym czy leczniczym nakazuje poinformować pacjenta, że przy stawianiu diagnozy lub w procesie terapeutycznym będzie wykorzystana sztuczna inteligencja oraz uzyskać świadomą zgodę pacjenta na zastosowanie sztucznej inteligencji. W projekcie ustawy wymogi te zostały pominięte. Powstaje również pytanie o dostęp pacjenta do tego rodzaju analizy sporządzonej przez algorytmy sztucznej inteligencji, zwłaszcza jeśli ostateczny opis badania sporządzony przez lekarza różni się od projektu przygotowanego przez narzędzie A</w:t>
            </w:r>
            <w:r w:rsidR="00E9126D" w:rsidRPr="001941B0">
              <w:rPr>
                <w:rFonts w:eastAsiaTheme="minorEastAsia"/>
                <w:sz w:val="20"/>
                <w:szCs w:val="20"/>
              </w:rPr>
              <w:t>I</w:t>
            </w:r>
            <w:r w:rsidRPr="001941B0">
              <w:rPr>
                <w:rFonts w:eastAsiaTheme="minorEastAsia"/>
                <w:sz w:val="20"/>
                <w:szCs w:val="20"/>
              </w:rPr>
              <w:t>. Projekt ustawy przewiduje w tym zakresie pseudonimizację danych osobowych pacjenta. W uzasadnieniu do projektu ustawy Ministerstwo Zdrowia wskazuje, że niektóre placówki ochrony zdrowia w Polsce podjęły już własne inicjatywy w zakresie wdrażania Al w ochronie zdrowia, w tym co do badań obrazowych, nie przedstawiono jednak wraz z projektem ustawy raportu korzyści z wdrożenia takich rozwiązań w zakresie skrócenia czasu oczekiwania na opis badania i jego poprawności. Krótki, jedynie 14-dniowy, czas na przedstawienie uwag do projektu w ramach konsultacji społecznych nie pozwala na pełną ocenę zaproponowanego rozwiązania i jego rzeczywistych konsekwencji.</w:t>
            </w:r>
          </w:p>
        </w:tc>
        <w:tc>
          <w:tcPr>
            <w:tcW w:w="2855" w:type="dxa"/>
            <w:shd w:val="clear" w:color="auto" w:fill="FFFFFF" w:themeFill="background1"/>
          </w:tcPr>
          <w:p w14:paraId="5630549C" w14:textId="714D8D1C" w:rsidR="00445FF2" w:rsidRPr="001941B0" w:rsidRDefault="00445FF2"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1E44E52B" w14:textId="7312C610" w:rsidR="00316660" w:rsidRPr="001941B0" w:rsidRDefault="00ED0D84" w:rsidP="006E0CB2">
            <w:pPr>
              <w:autoSpaceDE w:val="0"/>
              <w:autoSpaceDN w:val="0"/>
              <w:adjustRightInd w:val="0"/>
              <w:spacing w:after="0" w:line="240" w:lineRule="auto"/>
              <w:rPr>
                <w:sz w:val="20"/>
                <w:szCs w:val="20"/>
              </w:rPr>
            </w:pPr>
            <w:r w:rsidRPr="001941B0">
              <w:rPr>
                <w:sz w:val="20"/>
                <w:szCs w:val="20"/>
              </w:rPr>
              <w:t>Nazw</w:t>
            </w:r>
            <w:r w:rsidR="3E1F218A" w:rsidRPr="001941B0">
              <w:rPr>
                <w:sz w:val="20"/>
                <w:szCs w:val="20"/>
              </w:rPr>
              <w:t>a</w:t>
            </w:r>
            <w:r w:rsidR="4A147A46" w:rsidRPr="001941B0">
              <w:rPr>
                <w:sz w:val="20"/>
                <w:szCs w:val="20"/>
              </w:rPr>
              <w:t xml:space="preserve"> </w:t>
            </w:r>
            <w:r w:rsidR="000B11B3" w:rsidRPr="001941B0">
              <w:rPr>
                <w:sz w:val="20"/>
                <w:szCs w:val="20"/>
              </w:rPr>
              <w:t>P</w:t>
            </w:r>
            <w:r w:rsidR="4A147A46" w:rsidRPr="001941B0">
              <w:rPr>
                <w:sz w:val="20"/>
                <w:szCs w:val="20"/>
              </w:rPr>
              <w:t xml:space="preserve">latformy </w:t>
            </w:r>
            <w:r w:rsidR="000B11B3" w:rsidRPr="001941B0">
              <w:rPr>
                <w:sz w:val="20"/>
                <w:szCs w:val="20"/>
              </w:rPr>
              <w:t>U</w:t>
            </w:r>
            <w:r w:rsidR="64075A36" w:rsidRPr="001941B0">
              <w:rPr>
                <w:sz w:val="20"/>
                <w:szCs w:val="20"/>
              </w:rPr>
              <w:t xml:space="preserve">sług </w:t>
            </w:r>
            <w:r w:rsidR="000B11B3" w:rsidRPr="001941B0">
              <w:rPr>
                <w:sz w:val="20"/>
                <w:szCs w:val="20"/>
              </w:rPr>
              <w:t>I</w:t>
            </w:r>
            <w:r w:rsidR="1EA1B935" w:rsidRPr="001941B0">
              <w:rPr>
                <w:sz w:val="20"/>
                <w:szCs w:val="20"/>
              </w:rPr>
              <w:t>nteligentnych</w:t>
            </w:r>
            <w:r w:rsidR="000B11B3" w:rsidRPr="001941B0">
              <w:rPr>
                <w:sz w:val="20"/>
                <w:szCs w:val="20"/>
              </w:rPr>
              <w:t xml:space="preserve"> wynika z</w:t>
            </w:r>
            <w:r w:rsidR="00152185" w:rsidRPr="001941B0">
              <w:rPr>
                <w:sz w:val="20"/>
                <w:szCs w:val="20"/>
              </w:rPr>
              <w:t xml:space="preserve"> </w:t>
            </w:r>
            <w:r w:rsidR="00632B54" w:rsidRPr="001941B0">
              <w:rPr>
                <w:sz w:val="20"/>
                <w:szCs w:val="20"/>
              </w:rPr>
              <w:t>ustaleń z K</w:t>
            </w:r>
            <w:r w:rsidR="5F1CDFA1" w:rsidRPr="001941B0">
              <w:rPr>
                <w:sz w:val="20"/>
                <w:szCs w:val="20"/>
              </w:rPr>
              <w:t xml:space="preserve">omisją </w:t>
            </w:r>
            <w:r w:rsidR="00632B54" w:rsidRPr="001941B0">
              <w:rPr>
                <w:sz w:val="20"/>
                <w:szCs w:val="20"/>
              </w:rPr>
              <w:t>E</w:t>
            </w:r>
            <w:r w:rsidR="19E8A4AE" w:rsidRPr="001941B0">
              <w:rPr>
                <w:sz w:val="20"/>
                <w:szCs w:val="20"/>
              </w:rPr>
              <w:t>uropejską</w:t>
            </w:r>
            <w:r w:rsidR="00152185" w:rsidRPr="001941B0">
              <w:rPr>
                <w:sz w:val="20"/>
                <w:szCs w:val="20"/>
              </w:rPr>
              <w:t xml:space="preserve"> oraz z</w:t>
            </w:r>
            <w:r w:rsidR="000B11B3" w:rsidRPr="001941B0">
              <w:rPr>
                <w:sz w:val="20"/>
                <w:szCs w:val="20"/>
              </w:rPr>
              <w:t xml:space="preserve"> </w:t>
            </w:r>
            <w:r w:rsidR="1CA812CA" w:rsidRPr="001941B0">
              <w:rPr>
                <w:sz w:val="20"/>
                <w:szCs w:val="20"/>
              </w:rPr>
              <w:t>postanowień Krajowego Planu Odbudowy  i Zwiększania Odporności</w:t>
            </w:r>
            <w:r w:rsidR="000B11B3" w:rsidRPr="001941B0">
              <w:rPr>
                <w:sz w:val="20"/>
                <w:szCs w:val="20"/>
              </w:rPr>
              <w:t>KPO.</w:t>
            </w:r>
          </w:p>
          <w:p w14:paraId="79554723" w14:textId="77777777" w:rsidR="006C1289" w:rsidRPr="001941B0" w:rsidRDefault="006C1289" w:rsidP="006E0CB2">
            <w:pPr>
              <w:autoSpaceDE w:val="0"/>
              <w:autoSpaceDN w:val="0"/>
              <w:adjustRightInd w:val="0"/>
              <w:spacing w:after="0" w:line="240" w:lineRule="auto"/>
              <w:rPr>
                <w:rFonts w:cstheme="minorHAnsi"/>
                <w:sz w:val="20"/>
                <w:szCs w:val="20"/>
              </w:rPr>
            </w:pPr>
          </w:p>
          <w:p w14:paraId="67F483F1" w14:textId="2461A18C" w:rsidR="00843004" w:rsidRPr="001941B0" w:rsidRDefault="00BC1624" w:rsidP="006E0CB2">
            <w:pPr>
              <w:autoSpaceDE w:val="0"/>
              <w:autoSpaceDN w:val="0"/>
              <w:adjustRightInd w:val="0"/>
              <w:spacing w:after="0" w:line="240" w:lineRule="auto"/>
              <w:rPr>
                <w:sz w:val="20"/>
                <w:szCs w:val="20"/>
              </w:rPr>
            </w:pPr>
            <w:r w:rsidRPr="001941B0">
              <w:rPr>
                <w:sz w:val="20"/>
                <w:szCs w:val="20"/>
              </w:rPr>
              <w:t xml:space="preserve">Wprowadzenie przepisów w zakresie odpowiedzialności za korzystanie z algorytmów </w:t>
            </w:r>
            <w:r w:rsidR="0047328F" w:rsidRPr="001941B0">
              <w:rPr>
                <w:sz w:val="20"/>
                <w:szCs w:val="20"/>
              </w:rPr>
              <w:t xml:space="preserve">jest poza zakresem </w:t>
            </w:r>
            <w:r w:rsidR="00983468" w:rsidRPr="001941B0">
              <w:rPr>
                <w:sz w:val="20"/>
                <w:szCs w:val="20"/>
              </w:rPr>
              <w:t>projektowanej</w:t>
            </w:r>
            <w:r w:rsidR="0047328F" w:rsidRPr="001941B0">
              <w:rPr>
                <w:sz w:val="20"/>
                <w:szCs w:val="20"/>
              </w:rPr>
              <w:t xml:space="preserve"> ustawy</w:t>
            </w:r>
            <w:r w:rsidR="00983468" w:rsidRPr="001941B0">
              <w:rPr>
                <w:sz w:val="20"/>
                <w:szCs w:val="20"/>
              </w:rPr>
              <w:t xml:space="preserve"> - z</w:t>
            </w:r>
            <w:r w:rsidR="008639A2" w:rsidRPr="001941B0">
              <w:rPr>
                <w:sz w:val="20"/>
                <w:szCs w:val="20"/>
              </w:rPr>
              <w:t xml:space="preserve">a opis wyniku </w:t>
            </w:r>
            <w:r w:rsidR="00F319FE" w:rsidRPr="001941B0">
              <w:rPr>
                <w:sz w:val="20"/>
                <w:szCs w:val="20"/>
              </w:rPr>
              <w:t xml:space="preserve">badania </w:t>
            </w:r>
          </w:p>
          <w:p w14:paraId="6CC68FC9" w14:textId="7FB87717" w:rsidR="000B11B3" w:rsidRPr="001941B0" w:rsidRDefault="00F319FE"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odpowiada </w:t>
            </w:r>
            <w:r w:rsidR="008639A2" w:rsidRPr="001941B0">
              <w:rPr>
                <w:rFonts w:cstheme="minorHAnsi"/>
                <w:sz w:val="20"/>
                <w:szCs w:val="20"/>
              </w:rPr>
              <w:t>l</w:t>
            </w:r>
            <w:r w:rsidR="00A95D32" w:rsidRPr="001941B0">
              <w:rPr>
                <w:rFonts w:cstheme="minorHAnsi"/>
                <w:sz w:val="20"/>
                <w:szCs w:val="20"/>
              </w:rPr>
              <w:t>ekarz</w:t>
            </w:r>
            <w:r w:rsidR="00FA68C2" w:rsidRPr="001941B0">
              <w:rPr>
                <w:rFonts w:cstheme="minorHAnsi"/>
                <w:sz w:val="20"/>
                <w:szCs w:val="20"/>
              </w:rPr>
              <w:t>,</w:t>
            </w:r>
            <w:r w:rsidR="00A95D32" w:rsidRPr="001941B0">
              <w:rPr>
                <w:rFonts w:cstheme="minorHAnsi"/>
                <w:sz w:val="20"/>
                <w:szCs w:val="20"/>
              </w:rPr>
              <w:t xml:space="preserve"> a nie system.</w:t>
            </w:r>
          </w:p>
          <w:p w14:paraId="284EFA14" w14:textId="77777777" w:rsidR="00FE499F" w:rsidRPr="001941B0" w:rsidRDefault="00FE499F" w:rsidP="006E0CB2">
            <w:pPr>
              <w:autoSpaceDE w:val="0"/>
              <w:autoSpaceDN w:val="0"/>
              <w:adjustRightInd w:val="0"/>
              <w:spacing w:after="0" w:line="240" w:lineRule="auto"/>
              <w:rPr>
                <w:rFonts w:cstheme="minorHAnsi"/>
                <w:sz w:val="20"/>
                <w:szCs w:val="20"/>
              </w:rPr>
            </w:pPr>
          </w:p>
          <w:p w14:paraId="3F5BB901" w14:textId="1E695B79" w:rsidR="00FE499F" w:rsidRPr="001941B0" w:rsidRDefault="00C23754" w:rsidP="006E0CB2">
            <w:pPr>
              <w:autoSpaceDE w:val="0"/>
              <w:autoSpaceDN w:val="0"/>
              <w:adjustRightInd w:val="0"/>
              <w:spacing w:after="0" w:line="240" w:lineRule="auto"/>
              <w:rPr>
                <w:sz w:val="20"/>
                <w:szCs w:val="20"/>
              </w:rPr>
            </w:pPr>
            <w:r w:rsidRPr="001941B0">
              <w:rPr>
                <w:sz w:val="20"/>
                <w:szCs w:val="20"/>
              </w:rPr>
              <w:t xml:space="preserve">Projektowana regulacja nie zmienia </w:t>
            </w:r>
            <w:r w:rsidR="00365A59" w:rsidRPr="001941B0">
              <w:rPr>
                <w:sz w:val="20"/>
                <w:szCs w:val="20"/>
              </w:rPr>
              <w:t xml:space="preserve">reguł </w:t>
            </w:r>
            <w:r w:rsidR="00365A59" w:rsidRPr="001941B0">
              <w:rPr>
                <w:sz w:val="20"/>
                <w:szCs w:val="20"/>
              </w:rPr>
              <w:lastRenderedPageBreak/>
              <w:t>odpowiedzialności personelu medycznego</w:t>
            </w:r>
            <w:r w:rsidR="00D71BFA" w:rsidRPr="001941B0">
              <w:rPr>
                <w:sz w:val="20"/>
                <w:szCs w:val="20"/>
              </w:rPr>
              <w:t xml:space="preserve"> – jest to poza jej zakresem. </w:t>
            </w:r>
          </w:p>
          <w:p w14:paraId="01CCBCD7" w14:textId="77777777" w:rsidR="006C1289" w:rsidRPr="001941B0" w:rsidRDefault="006C1289" w:rsidP="00D03048">
            <w:pPr>
              <w:autoSpaceDE w:val="0"/>
              <w:autoSpaceDN w:val="0"/>
              <w:adjustRightInd w:val="0"/>
              <w:spacing w:after="0" w:line="240" w:lineRule="auto"/>
              <w:rPr>
                <w:rFonts w:cstheme="minorHAnsi"/>
                <w:sz w:val="20"/>
                <w:szCs w:val="20"/>
              </w:rPr>
            </w:pPr>
          </w:p>
          <w:p w14:paraId="385B061F" w14:textId="32CFCECF" w:rsidR="00306E53" w:rsidRPr="001941B0" w:rsidRDefault="00C232DF" w:rsidP="00D03048">
            <w:pPr>
              <w:autoSpaceDE w:val="0"/>
              <w:autoSpaceDN w:val="0"/>
              <w:adjustRightInd w:val="0"/>
              <w:spacing w:after="0" w:line="240" w:lineRule="auto"/>
              <w:rPr>
                <w:rFonts w:cstheme="minorHAnsi"/>
                <w:sz w:val="20"/>
                <w:szCs w:val="20"/>
              </w:rPr>
            </w:pPr>
            <w:r w:rsidRPr="001941B0">
              <w:rPr>
                <w:rFonts w:cstheme="minorHAnsi"/>
                <w:sz w:val="20"/>
                <w:szCs w:val="20"/>
              </w:rPr>
              <w:t xml:space="preserve">Projektowana regulacja nie </w:t>
            </w:r>
            <w:r w:rsidR="002E2DF9" w:rsidRPr="001941B0">
              <w:rPr>
                <w:rFonts w:cstheme="minorHAnsi"/>
                <w:sz w:val="20"/>
                <w:szCs w:val="20"/>
              </w:rPr>
              <w:t>zabrania d</w:t>
            </w:r>
            <w:r w:rsidR="00797F08" w:rsidRPr="001941B0">
              <w:rPr>
                <w:rFonts w:cstheme="minorHAnsi"/>
                <w:sz w:val="20"/>
                <w:szCs w:val="20"/>
              </w:rPr>
              <w:t>ostęp</w:t>
            </w:r>
            <w:r w:rsidR="002E2DF9" w:rsidRPr="001941B0">
              <w:rPr>
                <w:rFonts w:cstheme="minorHAnsi"/>
                <w:sz w:val="20"/>
                <w:szCs w:val="20"/>
              </w:rPr>
              <w:t>u</w:t>
            </w:r>
            <w:r w:rsidR="00797F08" w:rsidRPr="001941B0">
              <w:rPr>
                <w:rFonts w:cstheme="minorHAnsi"/>
                <w:sz w:val="20"/>
                <w:szCs w:val="20"/>
              </w:rPr>
              <w:t xml:space="preserve"> pacjenta do analizy </w:t>
            </w:r>
            <w:r w:rsidR="00456C7C" w:rsidRPr="001941B0">
              <w:rPr>
                <w:rFonts w:cstheme="minorHAnsi"/>
                <w:sz w:val="20"/>
                <w:szCs w:val="20"/>
              </w:rPr>
              <w:t xml:space="preserve">wykonanej przez model </w:t>
            </w:r>
            <w:r w:rsidR="00E24B16" w:rsidRPr="001941B0">
              <w:rPr>
                <w:rFonts w:cstheme="minorHAnsi"/>
                <w:sz w:val="20"/>
                <w:szCs w:val="20"/>
              </w:rPr>
              <w:t xml:space="preserve">SI </w:t>
            </w:r>
            <w:r w:rsidR="002E2DF9" w:rsidRPr="001941B0">
              <w:rPr>
                <w:rFonts w:cstheme="minorHAnsi"/>
                <w:sz w:val="20"/>
                <w:szCs w:val="20"/>
              </w:rPr>
              <w:t xml:space="preserve">- </w:t>
            </w:r>
            <w:r w:rsidR="00456C7C" w:rsidRPr="001941B0">
              <w:rPr>
                <w:rFonts w:cstheme="minorHAnsi"/>
                <w:sz w:val="20"/>
                <w:szCs w:val="20"/>
              </w:rPr>
              <w:t xml:space="preserve">może </w:t>
            </w:r>
            <w:r w:rsidR="002E2DF9" w:rsidRPr="001941B0">
              <w:rPr>
                <w:rFonts w:cstheme="minorHAnsi"/>
                <w:sz w:val="20"/>
                <w:szCs w:val="20"/>
              </w:rPr>
              <w:t xml:space="preserve">on </w:t>
            </w:r>
            <w:r w:rsidR="00456C7C" w:rsidRPr="001941B0">
              <w:rPr>
                <w:rFonts w:cstheme="minorHAnsi"/>
                <w:sz w:val="20"/>
                <w:szCs w:val="20"/>
              </w:rPr>
              <w:t xml:space="preserve">być zrealizowany </w:t>
            </w:r>
            <w:r w:rsidR="00856C63" w:rsidRPr="001941B0">
              <w:rPr>
                <w:rFonts w:cstheme="minorHAnsi"/>
                <w:sz w:val="20"/>
                <w:szCs w:val="20"/>
              </w:rPr>
              <w:t>przez lekarza</w:t>
            </w:r>
            <w:r w:rsidR="00250C1C" w:rsidRPr="001941B0">
              <w:rPr>
                <w:rFonts w:cstheme="minorHAnsi"/>
                <w:sz w:val="20"/>
                <w:szCs w:val="20"/>
              </w:rPr>
              <w:t xml:space="preserve"> na podstawie obowiązujących przepisów prawa</w:t>
            </w:r>
            <w:r w:rsidR="00856C63" w:rsidRPr="001941B0">
              <w:rPr>
                <w:rFonts w:cstheme="minorHAnsi"/>
                <w:sz w:val="20"/>
                <w:szCs w:val="20"/>
              </w:rPr>
              <w:t xml:space="preserve">. Jednakże wiążącym dokumentem </w:t>
            </w:r>
            <w:r w:rsidR="00C43373" w:rsidRPr="001941B0">
              <w:rPr>
                <w:rFonts w:cstheme="minorHAnsi"/>
                <w:sz w:val="20"/>
                <w:szCs w:val="20"/>
              </w:rPr>
              <w:t xml:space="preserve">dla pacjenta jest zawsze dokument opatrzony podpisem lekarza (opis wyniku badania podpisany przez lekarza). </w:t>
            </w:r>
          </w:p>
        </w:tc>
      </w:tr>
      <w:tr w:rsidR="00FC7212" w:rsidRPr="001941B0" w14:paraId="5E42A6E0" w14:textId="77777777" w:rsidTr="7139DBB9">
        <w:tc>
          <w:tcPr>
            <w:tcW w:w="1125" w:type="dxa"/>
            <w:shd w:val="clear" w:color="auto" w:fill="FFFFFF" w:themeFill="background1"/>
          </w:tcPr>
          <w:p w14:paraId="0AFDD555"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EE4F72F" w14:textId="1DC42CEC"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Polska Izba Informatyki i Telekomunikacji (PIIT)</w:t>
            </w:r>
          </w:p>
          <w:p w14:paraId="46EDDDB8" w14:textId="6614BE45" w:rsidR="00306E53" w:rsidRPr="001941B0" w:rsidRDefault="00306E53" w:rsidP="006E0CB2">
            <w:pPr>
              <w:autoSpaceDE w:val="0"/>
              <w:autoSpaceDN w:val="0"/>
              <w:adjustRightInd w:val="0"/>
              <w:spacing w:after="0" w:line="240" w:lineRule="auto"/>
              <w:rPr>
                <w:rFonts w:cs="Calibri"/>
                <w:bCs/>
                <w:sz w:val="20"/>
                <w:szCs w:val="20"/>
              </w:rPr>
            </w:pPr>
          </w:p>
        </w:tc>
        <w:tc>
          <w:tcPr>
            <w:tcW w:w="1949" w:type="dxa"/>
            <w:shd w:val="clear" w:color="auto" w:fill="FFFFFF" w:themeFill="background1"/>
          </w:tcPr>
          <w:p w14:paraId="2E5FAC65" w14:textId="0A59C99C"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eastAsia="Calibri" w:cs="Calibri"/>
                <w:sz w:val="20"/>
                <w:szCs w:val="20"/>
              </w:rPr>
              <w:t xml:space="preserve">Art. 5 </w:t>
            </w:r>
          </w:p>
        </w:tc>
        <w:tc>
          <w:tcPr>
            <w:tcW w:w="5652" w:type="dxa"/>
            <w:shd w:val="clear" w:color="auto" w:fill="FFFFFF" w:themeFill="background1"/>
          </w:tcPr>
          <w:p w14:paraId="6A78557D" w14:textId="7DF64713"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cs="Calibri"/>
                <w:sz w:val="20"/>
                <w:szCs w:val="20"/>
              </w:rPr>
              <w:t xml:space="preserve">Treśc przepisu: </w:t>
            </w:r>
            <w:r w:rsidRPr="001941B0">
              <w:rPr>
                <w:rFonts w:eastAsia="Calibri" w:cs="Calibri"/>
                <w:sz w:val="20"/>
                <w:szCs w:val="20"/>
              </w:rPr>
              <w:t>b) opatrzone kwalifikowanym podpisem elektronicznym, podpisem zaufanym, podpisem osobistym albo z wykorzystaniem sposobu potwierdzania pochodzenia oraz integralności danych dostępnego w systemie teleinformatycznym udostępnionym bezpłatnie przez Zakład Ubezpieczeń Społecznych:</w:t>
            </w:r>
          </w:p>
          <w:p w14:paraId="62A49292" w14:textId="44BEA2B6" w:rsidR="00306E53" w:rsidRPr="001941B0" w:rsidRDefault="00306E53" w:rsidP="006E0CB2">
            <w:pPr>
              <w:autoSpaceDE w:val="0"/>
              <w:autoSpaceDN w:val="0"/>
              <w:adjustRightInd w:val="0"/>
              <w:spacing w:after="0" w:line="240" w:lineRule="auto"/>
              <w:rPr>
                <w:rFonts w:eastAsia="Calibri" w:cs="Calibri"/>
                <w:sz w:val="20"/>
                <w:szCs w:val="20"/>
              </w:rPr>
            </w:pPr>
          </w:p>
          <w:p w14:paraId="01566D77" w14:textId="4C944822"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Komentarz: Projektodawca nie wziął pod uwagę możliwości całkowitej cyfryzacji wszystkich procesów medycznych, co mogłoby wyeliminować tworzenie dokumentów papierowych i koszty związane z ich digitalizacją. Dotychczas barierą pełnej cyfryzacji była dokumentacja wymagająca podpisania przez osobę (najczęściej pacjenta, ale nie tylko) nieposiadającą możliwości złożenia podpisu elektronicznego, o którym mówi omawiany przepis. Obecnie istnieją uznane prawnie rozwiązania techniczne pozwalające na złożenie odręcznego podpisu utrwalonego elektronicznie bezpośrednio i jednoznacznie powiązanego z podpisywaną treścią dokumentu w postaci elektronicznej. Jest więc zasadne, aby omawiany przepis nie wykluczał możliwości składania podpisu własnoręcznego utrwalonego elektronicznie. Ministerstwo Zdrowia powinno wspierać tego typu rozwiązania, które umożliwiają cyfryzację dokumentacji medycznej w pełnym zakresie już na etapie jej tworzenia.</w:t>
            </w:r>
          </w:p>
          <w:p w14:paraId="23724304" w14:textId="026BBCA4" w:rsidR="00306E53" w:rsidRPr="001941B0" w:rsidRDefault="00306E53" w:rsidP="006E0CB2">
            <w:pPr>
              <w:autoSpaceDE w:val="0"/>
              <w:autoSpaceDN w:val="0"/>
              <w:adjustRightInd w:val="0"/>
              <w:spacing w:after="0" w:line="240" w:lineRule="auto"/>
              <w:rPr>
                <w:rFonts w:eastAsia="Calibri" w:cs="Calibri"/>
                <w:sz w:val="20"/>
                <w:szCs w:val="20"/>
              </w:rPr>
            </w:pPr>
          </w:p>
          <w:p w14:paraId="6B501B6A" w14:textId="79526CE1"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 xml:space="preserve">Propozycja zapisu: b) opatrzone kwalifikowanym podpisem elektronicznym, podpisem zaufanym, podpisem osobistym albo z wykorzystaniem sposobu potwierdzania pochodzenia oraz integralności danych dostępnego w systemie teleinformatycznym udostępnionym bezpłatnie przez Zakład Ubezpieczeń Społecznych </w:t>
            </w:r>
            <w:r w:rsidRPr="001941B0">
              <w:rPr>
                <w:rFonts w:eastAsia="Calibri" w:cs="Calibri"/>
                <w:b/>
                <w:sz w:val="20"/>
                <w:szCs w:val="20"/>
              </w:rPr>
              <w:t xml:space="preserve">albo podpisem odręcznym utrwalonym elektronicznie wraz </w:t>
            </w:r>
            <w:r w:rsidRPr="001941B0">
              <w:rPr>
                <w:sz w:val="20"/>
                <w:szCs w:val="20"/>
              </w:rPr>
              <w:br/>
            </w:r>
            <w:r w:rsidRPr="001941B0">
              <w:rPr>
                <w:rFonts w:eastAsia="Calibri" w:cs="Calibri"/>
                <w:b/>
                <w:sz w:val="20"/>
                <w:szCs w:val="20"/>
              </w:rPr>
              <w:t>z danymi identyfikującymi osobę podpisującą</w:t>
            </w:r>
          </w:p>
          <w:p w14:paraId="27655C49" w14:textId="2AEDF918" w:rsidR="00306E53" w:rsidRPr="001941B0" w:rsidRDefault="00306E53" w:rsidP="006E0CB2">
            <w:pPr>
              <w:autoSpaceDE w:val="0"/>
              <w:autoSpaceDN w:val="0"/>
              <w:adjustRightInd w:val="0"/>
              <w:spacing w:after="0" w:line="240" w:lineRule="auto"/>
              <w:rPr>
                <w:rFonts w:eastAsia="Calibri" w:cs="Calibri"/>
                <w:sz w:val="20"/>
                <w:szCs w:val="20"/>
              </w:rPr>
            </w:pPr>
          </w:p>
        </w:tc>
        <w:tc>
          <w:tcPr>
            <w:tcW w:w="2855" w:type="dxa"/>
            <w:shd w:val="clear" w:color="auto" w:fill="FFFFFF" w:themeFill="background1"/>
          </w:tcPr>
          <w:p w14:paraId="2C3E938E" w14:textId="4CC9A939" w:rsidR="00B34BB2" w:rsidRPr="001941B0" w:rsidRDefault="00B34BB2"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7F8F0520" w14:textId="4AE6E123" w:rsidR="00306E53" w:rsidRPr="001941B0" w:rsidRDefault="1ADFF8DE" w:rsidP="1B5FDD98">
            <w:pPr>
              <w:autoSpaceDE w:val="0"/>
              <w:autoSpaceDN w:val="0"/>
              <w:adjustRightInd w:val="0"/>
              <w:spacing w:after="0" w:line="240" w:lineRule="auto"/>
              <w:rPr>
                <w:sz w:val="20"/>
                <w:szCs w:val="20"/>
              </w:rPr>
            </w:pPr>
            <w:r w:rsidRPr="001941B0">
              <w:rPr>
                <w:sz w:val="20"/>
                <w:szCs w:val="20"/>
              </w:rPr>
              <w:t>W Ministerstwie Zdrowia obecnie t</w:t>
            </w:r>
            <w:r w:rsidR="00B34BB2" w:rsidRPr="001941B0">
              <w:rPr>
                <w:sz w:val="20"/>
                <w:szCs w:val="20"/>
              </w:rPr>
              <w:t xml:space="preserve">rwają prace </w:t>
            </w:r>
            <w:r w:rsidR="00971BC5" w:rsidRPr="001941B0">
              <w:rPr>
                <w:sz w:val="20"/>
                <w:szCs w:val="20"/>
              </w:rPr>
              <w:t xml:space="preserve">w MZ </w:t>
            </w:r>
            <w:r w:rsidR="00B34BB2" w:rsidRPr="001941B0">
              <w:rPr>
                <w:sz w:val="20"/>
                <w:szCs w:val="20"/>
              </w:rPr>
              <w:t xml:space="preserve">nad możliwością uwzględnienia podpisu </w:t>
            </w:r>
            <w:r w:rsidR="002E50D7" w:rsidRPr="001941B0">
              <w:rPr>
                <w:sz w:val="20"/>
                <w:szCs w:val="20"/>
              </w:rPr>
              <w:t xml:space="preserve">odręcznego </w:t>
            </w:r>
            <w:r w:rsidR="0CCD67BF" w:rsidRPr="001941B0">
              <w:rPr>
                <w:rFonts w:eastAsia="Calibri" w:cs="Calibri"/>
                <w:sz w:val="20"/>
                <w:szCs w:val="20"/>
              </w:rPr>
              <w:t xml:space="preserve">utrwalonego </w:t>
            </w:r>
            <w:r w:rsidR="0CCD67BF" w:rsidRPr="001941B0">
              <w:rPr>
                <w:rFonts w:eastAsia="Calibri" w:cs="Calibri"/>
                <w:sz w:val="20"/>
                <w:szCs w:val="20"/>
              </w:rPr>
              <w:lastRenderedPageBreak/>
              <w:t xml:space="preserve">elektronicznie wraz </w:t>
            </w:r>
            <w:r w:rsidR="00B34BB2" w:rsidRPr="001941B0">
              <w:br/>
            </w:r>
            <w:r w:rsidR="0CCD67BF" w:rsidRPr="001941B0">
              <w:rPr>
                <w:rFonts w:eastAsia="Calibri" w:cs="Calibri"/>
                <w:sz w:val="20"/>
                <w:szCs w:val="20"/>
              </w:rPr>
              <w:t>z danymi identyfikującymi osobę podpisującą</w:t>
            </w:r>
            <w:r w:rsidR="0CCD67BF" w:rsidRPr="001941B0">
              <w:rPr>
                <w:sz w:val="20"/>
                <w:szCs w:val="20"/>
              </w:rPr>
              <w:t xml:space="preserve"> .</w:t>
            </w:r>
          </w:p>
          <w:p w14:paraId="76921BD5" w14:textId="4779F2B1" w:rsidR="00306E53" w:rsidRPr="001941B0" w:rsidRDefault="00306E53" w:rsidP="006E0CB2">
            <w:pPr>
              <w:autoSpaceDE w:val="0"/>
              <w:autoSpaceDN w:val="0"/>
              <w:adjustRightInd w:val="0"/>
              <w:spacing w:after="0" w:line="240" w:lineRule="auto"/>
              <w:rPr>
                <w:sz w:val="20"/>
                <w:szCs w:val="20"/>
              </w:rPr>
            </w:pPr>
          </w:p>
        </w:tc>
      </w:tr>
      <w:tr w:rsidR="00FC7212" w:rsidRPr="001941B0" w14:paraId="3F4E5211" w14:textId="77777777" w:rsidTr="7139DBB9">
        <w:tc>
          <w:tcPr>
            <w:tcW w:w="1125" w:type="dxa"/>
            <w:shd w:val="clear" w:color="auto" w:fill="FFFFFF" w:themeFill="background1"/>
          </w:tcPr>
          <w:p w14:paraId="3E08B9D0"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19FF9AC" w14:textId="1DC42CEC"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Polska Izba Informatyki i Telekomunikacji (PIIT)</w:t>
            </w:r>
          </w:p>
          <w:p w14:paraId="6FCD439D" w14:textId="19E7E013" w:rsidR="00306E53" w:rsidRPr="001941B0" w:rsidRDefault="00306E53" w:rsidP="006E0CB2">
            <w:pPr>
              <w:autoSpaceDE w:val="0"/>
              <w:autoSpaceDN w:val="0"/>
              <w:adjustRightInd w:val="0"/>
              <w:spacing w:after="0" w:line="240" w:lineRule="auto"/>
              <w:rPr>
                <w:rFonts w:cs="Calibri"/>
                <w:bCs/>
                <w:sz w:val="20"/>
                <w:szCs w:val="20"/>
              </w:rPr>
            </w:pPr>
          </w:p>
        </w:tc>
        <w:tc>
          <w:tcPr>
            <w:tcW w:w="1949" w:type="dxa"/>
            <w:shd w:val="clear" w:color="auto" w:fill="FFFFFF" w:themeFill="background1"/>
          </w:tcPr>
          <w:p w14:paraId="2F31F5B6" w14:textId="0B86742A" w:rsidR="00FC7212" w:rsidRPr="001941B0" w:rsidRDefault="00306E53" w:rsidP="00FC7212">
            <w:pPr>
              <w:autoSpaceDE w:val="0"/>
              <w:autoSpaceDN w:val="0"/>
              <w:adjustRightInd w:val="0"/>
              <w:spacing w:after="0" w:line="240" w:lineRule="auto"/>
              <w:rPr>
                <w:sz w:val="20"/>
                <w:szCs w:val="20"/>
              </w:rPr>
            </w:pPr>
            <w:r w:rsidRPr="001941B0">
              <w:rPr>
                <w:rFonts w:eastAsia="Calibri" w:cs="Calibri"/>
                <w:sz w:val="20"/>
                <w:szCs w:val="20"/>
              </w:rPr>
              <w:t xml:space="preserve">Art. 5 </w:t>
            </w:r>
          </w:p>
          <w:p w14:paraId="30A7E32F" w14:textId="3406F608" w:rsidR="00306E53" w:rsidRPr="001941B0" w:rsidRDefault="00306E53" w:rsidP="006E0CB2">
            <w:pPr>
              <w:autoSpaceDE w:val="0"/>
              <w:autoSpaceDN w:val="0"/>
              <w:adjustRightInd w:val="0"/>
              <w:spacing w:after="0" w:line="240" w:lineRule="auto"/>
              <w:rPr>
                <w:rFonts w:eastAsia="Aptos" w:cs="Aptos"/>
                <w:sz w:val="20"/>
                <w:szCs w:val="20"/>
              </w:rPr>
            </w:pPr>
          </w:p>
        </w:tc>
        <w:tc>
          <w:tcPr>
            <w:tcW w:w="5652" w:type="dxa"/>
            <w:shd w:val="clear" w:color="auto" w:fill="FFFFFF" w:themeFill="background1"/>
          </w:tcPr>
          <w:p w14:paraId="75FF3E58" w14:textId="30ED3D3E"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Treść przepisu: </w:t>
            </w:r>
            <w:r w:rsidRPr="001941B0">
              <w:rPr>
                <w:rFonts w:eastAsia="Calibri" w:cs="Calibri"/>
                <w:i/>
                <w:sz w:val="20"/>
                <w:szCs w:val="20"/>
              </w:rPr>
              <w:t xml:space="preserve">Digitalizacja dokumentacji medycznej następuje przez sporządzenie jej odwzorowania cyfrowego i opatrzenie go kwalifikowanym podpisem elektronicznym, podpisem zaufanym, podpisem osobistym lub </w:t>
            </w:r>
            <w:r w:rsidRPr="001941B0">
              <w:rPr>
                <w:rFonts w:eastAsia="Calibri" w:cs="Calibri"/>
                <w:b/>
                <w:i/>
                <w:sz w:val="20"/>
                <w:szCs w:val="20"/>
              </w:rPr>
              <w:t>pieczęcią elektroniczną</w:t>
            </w:r>
            <w:r w:rsidRPr="001941B0">
              <w:rPr>
                <w:rFonts w:eastAsia="Calibri" w:cs="Calibri"/>
                <w:i/>
                <w:sz w:val="20"/>
                <w:szCs w:val="20"/>
              </w:rPr>
              <w:t xml:space="preserve"> przez osobę upoważnioną przez usługodawcę do potwierdzenia zgodności odwzorowania cyfrowego z dokumentem w postaci papierowej.”,</w:t>
            </w:r>
          </w:p>
          <w:p w14:paraId="68B9398F" w14:textId="472D487C" w:rsidR="00306E53" w:rsidRPr="001941B0" w:rsidRDefault="00306E53" w:rsidP="006E0CB2">
            <w:pPr>
              <w:spacing w:after="0" w:line="240" w:lineRule="auto"/>
              <w:rPr>
                <w:rFonts w:eastAsia="Calibri" w:cs="Calibri"/>
                <w:i/>
                <w:sz w:val="20"/>
                <w:szCs w:val="20"/>
              </w:rPr>
            </w:pPr>
            <w:r w:rsidRPr="001941B0">
              <w:rPr>
                <w:rFonts w:eastAsia="Calibri" w:cs="Calibri"/>
                <w:i/>
                <w:sz w:val="20"/>
                <w:szCs w:val="20"/>
              </w:rPr>
              <w:t xml:space="preserve">Komentarz: </w:t>
            </w:r>
            <w:r w:rsidRPr="001941B0">
              <w:rPr>
                <w:rFonts w:eastAsia="Calibri" w:cs="Calibri"/>
                <w:b/>
                <w:sz w:val="20"/>
                <w:szCs w:val="20"/>
              </w:rPr>
              <w:t>Uwaga 1.</w:t>
            </w:r>
            <w:r w:rsidRPr="001941B0">
              <w:rPr>
                <w:rFonts w:eastAsia="Calibri" w:cs="Calibri"/>
                <w:sz w:val="20"/>
                <w:szCs w:val="20"/>
              </w:rPr>
              <w:t xml:space="preserve">Dodanie możliwości użycia pieczęci w celu nadania cyfrowemu odwzorowaniu waloru zgodności z </w:t>
            </w:r>
            <w:r w:rsidRPr="001941B0">
              <w:rPr>
                <w:rFonts w:eastAsia="Calibri" w:cs="Calibri"/>
                <w:sz w:val="20"/>
                <w:szCs w:val="20"/>
              </w:rPr>
              <w:lastRenderedPageBreak/>
              <w:t>oryginałem można by uznać za korzystne jedynie pod warunkiem określenia odpowiednio statusu prawnego tej pieczęci. Trudno zrozumieć brak takiego zastrzeżenia, skoro w przypadku podpisu elektronicznego dopuszcza się tylko jego trzy konkretne rodzaje, których statusy prawne są ściśle określane w systemie prawnym i gwarantują przez to założony poziom prawnego i faktycznego bezpieczeństwa związanego z niezaprzeczalnością. Możliwość zastąpienia instrumentu prawnego o określonym statusie prawnym (jakim jest każdy z wymienionych podpisów elektronicznych) dowolnym rodzajem pieczęci elektronicznej (np. „zwykłą”, o nieokreślonym statusie prawnym) stanowi istotną wadę tego przepisu.</w:t>
            </w:r>
          </w:p>
          <w:p w14:paraId="2F72B3B8" w14:textId="71EC6035" w:rsidR="00306E53" w:rsidRPr="001941B0" w:rsidRDefault="00306E53" w:rsidP="006E0CB2">
            <w:pPr>
              <w:spacing w:after="0" w:line="240" w:lineRule="auto"/>
              <w:rPr>
                <w:sz w:val="20"/>
                <w:szCs w:val="20"/>
              </w:rPr>
            </w:pPr>
            <w:r w:rsidRPr="001941B0">
              <w:rPr>
                <w:rFonts w:eastAsia="Calibri" w:cs="Calibri"/>
                <w:sz w:val="20"/>
                <w:szCs w:val="20"/>
              </w:rPr>
              <w:t xml:space="preserve"> </w:t>
            </w:r>
          </w:p>
          <w:p w14:paraId="1294D868" w14:textId="701C2E81" w:rsidR="00306E53" w:rsidRPr="001941B0" w:rsidRDefault="00306E53" w:rsidP="006E0CB2">
            <w:pPr>
              <w:spacing w:after="0" w:line="240" w:lineRule="auto"/>
              <w:rPr>
                <w:sz w:val="20"/>
                <w:szCs w:val="20"/>
              </w:rPr>
            </w:pPr>
            <w:r w:rsidRPr="001941B0">
              <w:rPr>
                <w:rFonts w:eastAsia="Calibri" w:cs="Calibri"/>
                <w:b/>
                <w:sz w:val="20"/>
                <w:szCs w:val="20"/>
              </w:rPr>
              <w:t>Uwaga 2.</w:t>
            </w:r>
            <w:r w:rsidRPr="001941B0">
              <w:rPr>
                <w:rFonts w:eastAsia="Calibri" w:cs="Calibri"/>
                <w:sz w:val="20"/>
                <w:szCs w:val="20"/>
              </w:rPr>
              <w:t xml:space="preserve">Wskazanie usługodawcy (podmiotu medycznego identyfikowanego pieczęcią) może być celowe przy zastrzeżeniu, że nie rezygnuje się z identyfikacji </w:t>
            </w:r>
            <w:r w:rsidRPr="001941B0">
              <w:rPr>
                <w:sz w:val="20"/>
                <w:szCs w:val="20"/>
              </w:rPr>
              <w:br/>
            </w:r>
            <w:r w:rsidRPr="001941B0">
              <w:rPr>
                <w:rFonts w:eastAsia="Calibri" w:cs="Calibri"/>
                <w:sz w:val="20"/>
                <w:szCs w:val="20"/>
              </w:rPr>
              <w:t xml:space="preserve">(a przez to i współodpowiedzialności) osoby dokonującej digitalizacji. </w:t>
            </w:r>
            <w:r w:rsidRPr="001941B0">
              <w:rPr>
                <w:sz w:val="20"/>
                <w:szCs w:val="20"/>
              </w:rPr>
              <w:br/>
            </w:r>
            <w:r w:rsidRPr="001941B0">
              <w:rPr>
                <w:rFonts w:eastAsia="Calibri" w:cs="Calibri"/>
                <w:sz w:val="20"/>
                <w:szCs w:val="20"/>
              </w:rPr>
              <w:t xml:space="preserve">W przeciwnym przypadku pracownik, nie czując wagi i konsekwencji swojej pracy, może wykonywać ją bez dochowania należytej staranności lub będzie to realizowane w automacie do czego de facto przewidziana jest instytucja pieczęci. </w:t>
            </w:r>
            <w:r w:rsidRPr="001941B0">
              <w:rPr>
                <w:sz w:val="20"/>
                <w:szCs w:val="20"/>
              </w:rPr>
              <w:br/>
            </w:r>
            <w:r w:rsidRPr="001941B0">
              <w:rPr>
                <w:rFonts w:eastAsia="Calibri" w:cs="Calibri"/>
                <w:sz w:val="20"/>
                <w:szCs w:val="20"/>
              </w:rPr>
              <w:t>A konsekwencje może wówczas ponieść przede wszystkim pacjent, którego dokumentacja dotyczy. Pozostawienie kwestii odpowiedzialności wyłącznie w sferze stosunku pracodawca-pracownik (lub zleceniobiorca) nie jest dobrym rozwiązaniem.</w:t>
            </w:r>
          </w:p>
          <w:p w14:paraId="7368EA32" w14:textId="1657CDB0" w:rsidR="00306E53" w:rsidRPr="001941B0" w:rsidRDefault="00306E53" w:rsidP="006E0CB2">
            <w:pPr>
              <w:spacing w:after="0" w:line="240" w:lineRule="auto"/>
              <w:rPr>
                <w:sz w:val="20"/>
                <w:szCs w:val="20"/>
              </w:rPr>
            </w:pPr>
            <w:r w:rsidRPr="001941B0">
              <w:rPr>
                <w:rFonts w:eastAsia="Calibri" w:cs="Calibri"/>
                <w:b/>
                <w:sz w:val="20"/>
                <w:szCs w:val="20"/>
              </w:rPr>
              <w:t>Uwaga 3.</w:t>
            </w:r>
            <w:r w:rsidRPr="001941B0">
              <w:rPr>
                <w:rFonts w:eastAsia="Calibri" w:cs="Calibri"/>
                <w:sz w:val="20"/>
                <w:szCs w:val="20"/>
              </w:rPr>
              <w:t xml:space="preserve">Dla uzyskania w pełni wiarygodnej kopii cyfrowej dokumentacji medycznej najlepszym rozwiązaniem byłoby, niezależnie od podpisu osoby/identyfikacji osoby tworzącej dokument) opatrywać ją zawsze (a nie alternatywnie) pieczęcią placówki medycznej, bo pieczęć może być dobrze rozpoznawalna przez stronę korzystającą z dokumentacji mając pewność co do integralności i źródła pochodzenia dokumentu. Jednak warunkiem musi tu być odpowiedni poziom wiarygodności pieczęci. Taką pewność daje pieczęć </w:t>
            </w:r>
            <w:r w:rsidRPr="001941B0">
              <w:rPr>
                <w:rFonts w:eastAsia="Calibri" w:cs="Calibri"/>
                <w:sz w:val="20"/>
                <w:szCs w:val="20"/>
              </w:rPr>
              <w:lastRenderedPageBreak/>
              <w:t xml:space="preserve">kwalifikowana, ale </w:t>
            </w:r>
            <w:r w:rsidR="00F851D0" w:rsidRPr="001941B0">
              <w:rPr>
                <w:rFonts w:eastAsia="Calibri" w:cs="Calibri"/>
                <w:sz w:val="20"/>
                <w:szCs w:val="20"/>
              </w:rPr>
              <w:t>można z</w:t>
            </w:r>
            <w:r w:rsidRPr="001941B0">
              <w:rPr>
                <w:rFonts w:eastAsia="Calibri" w:cs="Calibri"/>
                <w:sz w:val="20"/>
                <w:szCs w:val="20"/>
              </w:rPr>
              <w:t xml:space="preserve"> przyczyn praktycznych dopuścić możliwość pieczęci zaawansowanej opartej na kwalifikowanym certyfikacie (co oczywiście nie wyklucza stosowania pieczęci kwalifikowanej). Zastosowanie kwalifikowanego instrumentu prawnego jest także spełnieniem warunku interoperacyjności, a przez to uznawalności dokumentów medycznych również w obrocie transgranicznym w UE, która konsekwentnie buduje jednolity rynek cyfrowy obejmujący wszystkie gałęzie i sektory gospodarki i administracji opierając bezpieczeństwo obrotu prawnego o kwalifikowane usługi zaufania.</w:t>
            </w:r>
          </w:p>
          <w:p w14:paraId="185640E6" w14:textId="0FBBAF23" w:rsidR="00306E53" w:rsidRPr="001941B0" w:rsidRDefault="00306E53" w:rsidP="006E0CB2">
            <w:pPr>
              <w:spacing w:after="0" w:line="240" w:lineRule="auto"/>
              <w:rPr>
                <w:sz w:val="20"/>
                <w:szCs w:val="20"/>
              </w:rPr>
            </w:pPr>
            <w:r w:rsidRPr="001941B0">
              <w:rPr>
                <w:rFonts w:eastAsia="Calibri" w:cs="Calibri"/>
                <w:sz w:val="20"/>
                <w:szCs w:val="20"/>
              </w:rPr>
              <w:t xml:space="preserve"> </w:t>
            </w:r>
          </w:p>
          <w:p w14:paraId="6666AF2F" w14:textId="138E2F63" w:rsidR="00306E53" w:rsidRPr="001941B0" w:rsidRDefault="00306E53" w:rsidP="006E0CB2">
            <w:pPr>
              <w:spacing w:after="0" w:line="240" w:lineRule="auto"/>
              <w:rPr>
                <w:sz w:val="20"/>
                <w:szCs w:val="20"/>
              </w:rPr>
            </w:pPr>
            <w:r w:rsidRPr="001941B0">
              <w:rPr>
                <w:rFonts w:eastAsia="Calibri" w:cs="Calibri"/>
                <w:b/>
                <w:sz w:val="20"/>
                <w:szCs w:val="20"/>
              </w:rPr>
              <w:t>Uwaga 4.</w:t>
            </w:r>
            <w:r w:rsidRPr="001941B0">
              <w:rPr>
                <w:rFonts w:eastAsia="Calibri" w:cs="Calibri"/>
                <w:sz w:val="20"/>
                <w:szCs w:val="20"/>
              </w:rPr>
              <w:t xml:space="preserve">Zważywszy na powyższe uwagi lakoniczne wyjaśnienie w „Uzasadnieniu” intencji wprowadzenia pieczęci elektronicznej nie przekonuje do zaakceptowania proponowanego brzmienia przepisu. </w:t>
            </w:r>
          </w:p>
          <w:p w14:paraId="457CD2D7" w14:textId="2A108D47" w:rsidR="00306E53" w:rsidRPr="001941B0" w:rsidRDefault="00306E53" w:rsidP="006E0CB2">
            <w:pPr>
              <w:spacing w:after="0" w:line="240" w:lineRule="auto"/>
              <w:rPr>
                <w:rFonts w:eastAsia="Calibri" w:cs="Calibri"/>
                <w:sz w:val="20"/>
                <w:szCs w:val="20"/>
              </w:rPr>
            </w:pPr>
          </w:p>
          <w:p w14:paraId="4427727B" w14:textId="1985A0D9" w:rsidR="00306E53" w:rsidRPr="001941B0" w:rsidRDefault="00306E53" w:rsidP="006E0CB2">
            <w:pPr>
              <w:spacing w:after="0" w:line="240" w:lineRule="auto"/>
              <w:rPr>
                <w:sz w:val="20"/>
                <w:szCs w:val="20"/>
              </w:rPr>
            </w:pPr>
            <w:r w:rsidRPr="001941B0">
              <w:rPr>
                <w:rFonts w:eastAsia="Calibri" w:cs="Calibri"/>
                <w:b/>
                <w:sz w:val="20"/>
                <w:szCs w:val="20"/>
              </w:rPr>
              <w:t>Uwaga 5.</w:t>
            </w:r>
            <w:r w:rsidRPr="001941B0">
              <w:rPr>
                <w:rFonts w:eastAsia="Calibri" w:cs="Calibri"/>
                <w:sz w:val="20"/>
                <w:szCs w:val="20"/>
              </w:rPr>
              <w:t xml:space="preserve">Nie można też zgodzić się z argumentacją podaną w OSR dotyczącą korzyści wynikających z wprowadzenia pieczęci w takim trybie jak to przewiduje projekt ustawy. Autorzy uzasadnienia </w:t>
            </w:r>
            <w:r w:rsidR="00F851D0" w:rsidRPr="001941B0">
              <w:rPr>
                <w:rFonts w:eastAsia="Calibri" w:cs="Calibri"/>
                <w:sz w:val="20"/>
                <w:szCs w:val="20"/>
              </w:rPr>
              <w:t>piszą: „,,,</w:t>
            </w:r>
            <w:r w:rsidRPr="001941B0">
              <w:rPr>
                <w:rFonts w:eastAsia="Calibri" w:cs="Calibri"/>
                <w:i/>
                <w:sz w:val="20"/>
                <w:szCs w:val="20"/>
              </w:rPr>
              <w:t>Powyższe generuje potrzebę zapewniania indywidualnego narzędzia (podpisu), każdej osobie, której powierzano zadanie digitalizacji dokumentacji medycznej. Wprowadzenie możliwości posługiwania się uniwersalnym oznaczeniem podmiotu dokonującego zmiany postaci dokumentacji medycznej z papierowej na elektroniczną zmniejszy koszty dokonywania tych zmian, co z kolei niewątpliwe przełoży się na zainteresowanie, a ostatecznie także zwiększenie zastosowania.”</w:t>
            </w:r>
          </w:p>
          <w:p w14:paraId="4F1D81B0" w14:textId="0647DD7C" w:rsidR="00306E53" w:rsidRPr="001941B0" w:rsidRDefault="00306E53" w:rsidP="006E0CB2">
            <w:pPr>
              <w:spacing w:after="0" w:line="240" w:lineRule="auto"/>
              <w:rPr>
                <w:sz w:val="20"/>
                <w:szCs w:val="20"/>
              </w:rPr>
            </w:pPr>
            <w:r w:rsidRPr="001941B0">
              <w:rPr>
                <w:rFonts w:eastAsia="Calibri" w:cs="Calibri"/>
                <w:sz w:val="20"/>
                <w:szCs w:val="20"/>
              </w:rPr>
              <w:t xml:space="preserve">Po pierwsze, użycie podpisu zaufanego lub osobistego (a w przypadku elektronicznej dokumentacji medycznej - również „podpisu ZUS”), które są dostępne bezpłatnie, nie generuje kosztów dla usługodawców, więc trudno mówić tu o zmniejszeniu tych kosztów. Jeżeli autorzy mieli na myśli zmniejszenie pewnych kosztów organizacyjnych, to można by się z tym zgodzić, gdyby te koszty były na tyle istotne w porównaniu do kosztów związanych z całym procesem </w:t>
            </w:r>
            <w:r w:rsidRPr="001941B0">
              <w:rPr>
                <w:rFonts w:eastAsia="Calibri" w:cs="Calibri"/>
                <w:sz w:val="20"/>
                <w:szCs w:val="20"/>
              </w:rPr>
              <w:lastRenderedPageBreak/>
              <w:t>digitalizacji, że ich redukcja mogłaby spowodować większe „</w:t>
            </w:r>
            <w:r w:rsidRPr="001941B0">
              <w:rPr>
                <w:rFonts w:eastAsia="Calibri" w:cs="Calibri"/>
                <w:i/>
                <w:sz w:val="20"/>
                <w:szCs w:val="20"/>
              </w:rPr>
              <w:t>zainteresowanie, a ostatecznie także zwiększenie zastosowania.”</w:t>
            </w:r>
          </w:p>
          <w:p w14:paraId="2419FA53" w14:textId="51E0E456" w:rsidR="00306E53" w:rsidRPr="001941B0" w:rsidRDefault="00306E53" w:rsidP="006E0CB2">
            <w:pPr>
              <w:spacing w:after="0" w:line="240" w:lineRule="auto"/>
              <w:rPr>
                <w:sz w:val="20"/>
                <w:szCs w:val="20"/>
              </w:rPr>
            </w:pPr>
            <w:r w:rsidRPr="001941B0">
              <w:rPr>
                <w:rFonts w:eastAsia="Calibri" w:cs="Calibri"/>
                <w:sz w:val="20"/>
                <w:szCs w:val="20"/>
              </w:rPr>
              <w:t>Użyte argumenty dotyczące kosztów i problemów realizacyjnych związanych z użyciem podpisu elektronicznego (jako indywidualnego instrumentu prawnego) nie są obecnie, w kontekście oferowanych rozwiązań technicznych i biznesowych, uzasadnione.</w:t>
            </w:r>
          </w:p>
          <w:p w14:paraId="3ACF0133" w14:textId="28FB8C84" w:rsidR="00306E53" w:rsidRPr="001941B0" w:rsidRDefault="00306E53" w:rsidP="006E0CB2">
            <w:pPr>
              <w:spacing w:after="0" w:line="240" w:lineRule="auto"/>
              <w:rPr>
                <w:sz w:val="20"/>
                <w:szCs w:val="20"/>
              </w:rPr>
            </w:pPr>
            <w:r w:rsidRPr="001941B0">
              <w:rPr>
                <w:rFonts w:eastAsia="Calibri" w:cs="Calibri"/>
                <w:sz w:val="20"/>
                <w:szCs w:val="20"/>
              </w:rPr>
              <w:t xml:space="preserve"> </w:t>
            </w:r>
          </w:p>
          <w:p w14:paraId="5B0361C2" w14:textId="517EEB4C" w:rsidR="00306E53" w:rsidRPr="001941B0" w:rsidRDefault="00306E53" w:rsidP="006E0CB2">
            <w:pPr>
              <w:spacing w:after="0" w:line="240" w:lineRule="auto"/>
              <w:rPr>
                <w:sz w:val="20"/>
                <w:szCs w:val="20"/>
              </w:rPr>
            </w:pPr>
            <w:r w:rsidRPr="001941B0">
              <w:rPr>
                <w:rFonts w:eastAsia="Calibri" w:cs="Calibri"/>
                <w:sz w:val="20"/>
                <w:szCs w:val="20"/>
              </w:rPr>
              <w:t>Nie wydaje się też, że „przerzucenie” całej odpowiedzialności na usługodawcę, który będąc świadomy tej odpowiedzialności, będzie musiał wprowadzić skuteczny system zarządzania dostępem do pieczęci przez pracowników (i rejestracji zdarzeń związanych z użyciem pieczęci), wywoła natychmiastowy entuzjazm kierownictwa placówek medycznych, jak to przewidują autorzy uzasadnienia.</w:t>
            </w:r>
          </w:p>
          <w:p w14:paraId="4FA454BB" w14:textId="6F3DB352" w:rsidR="00306E53" w:rsidRPr="001941B0" w:rsidRDefault="00306E53" w:rsidP="006E0CB2">
            <w:pPr>
              <w:spacing w:after="0" w:line="240" w:lineRule="auto"/>
              <w:rPr>
                <w:sz w:val="20"/>
                <w:szCs w:val="20"/>
              </w:rPr>
            </w:pPr>
            <w:r w:rsidRPr="001941B0">
              <w:rPr>
                <w:rFonts w:eastAsia="Calibri" w:cs="Calibri"/>
                <w:sz w:val="20"/>
                <w:szCs w:val="20"/>
              </w:rPr>
              <w:t>Choć należy podkreślić, niezależnie od oceny sytuacji przez usługodawców, że wprowadzenie pieczęci elektronicznej o odpowiednim statusie prawnym byłoby korzystne dla podniesienia bezpieczeństwa i interoperacyjności tworzonych dokumentów medycznych.</w:t>
            </w:r>
          </w:p>
          <w:p w14:paraId="4BD80D0F" w14:textId="16A6DD37" w:rsidR="00306E53" w:rsidRPr="001941B0" w:rsidRDefault="00306E53" w:rsidP="006E0CB2">
            <w:pPr>
              <w:spacing w:after="0" w:line="240" w:lineRule="auto"/>
              <w:rPr>
                <w:rFonts w:eastAsia="Calibri" w:cs="Calibri"/>
                <w:sz w:val="20"/>
                <w:szCs w:val="20"/>
              </w:rPr>
            </w:pPr>
          </w:p>
          <w:p w14:paraId="19C28F73" w14:textId="6DC5319C" w:rsidR="00306E53" w:rsidRPr="001941B0" w:rsidRDefault="00306E53" w:rsidP="006E0CB2">
            <w:pPr>
              <w:spacing w:after="0" w:line="240" w:lineRule="auto"/>
              <w:rPr>
                <w:rFonts w:eastAsia="Calibri" w:cs="Calibri"/>
                <w:b/>
                <w:sz w:val="20"/>
                <w:szCs w:val="20"/>
              </w:rPr>
            </w:pPr>
            <w:r w:rsidRPr="001941B0">
              <w:rPr>
                <w:rFonts w:eastAsia="Calibri" w:cs="Calibri"/>
                <w:sz w:val="20"/>
                <w:szCs w:val="20"/>
              </w:rPr>
              <w:t xml:space="preserve">Propozycja zapisu: Digitalizacja dokumentacji medycznej następuje przez sporządzenie jej odwzorowania cyfrowego i opatrzenie go kwalifikowanym podpisem elektronicznym, podpisem zaufanym, podpisem osobistym lub </w:t>
            </w:r>
            <w:r w:rsidRPr="001941B0">
              <w:rPr>
                <w:rFonts w:eastAsia="Calibri" w:cs="Calibri"/>
                <w:b/>
                <w:sz w:val="20"/>
                <w:szCs w:val="20"/>
              </w:rPr>
              <w:t>zaawansowaną pieczęcią elektroniczną opartą na kwalifikowanym certyfikacie</w:t>
            </w:r>
            <w:r w:rsidRPr="001941B0">
              <w:rPr>
                <w:rFonts w:eastAsia="Calibri" w:cs="Calibri"/>
                <w:sz w:val="20"/>
                <w:szCs w:val="20"/>
              </w:rPr>
              <w:t xml:space="preserve"> usługodawcy w celu potwierdzenia zgodności odwzorowania cyfrowego z dokumentem w postaci papierowej.</w:t>
            </w:r>
          </w:p>
          <w:p w14:paraId="33C3535F" w14:textId="54EA12B1" w:rsidR="00306E53" w:rsidRPr="001941B0" w:rsidRDefault="00306E53" w:rsidP="006E0CB2">
            <w:pPr>
              <w:spacing w:after="0" w:line="240" w:lineRule="auto"/>
              <w:rPr>
                <w:rFonts w:cs="Calibri"/>
                <w:sz w:val="20"/>
                <w:szCs w:val="20"/>
              </w:rPr>
            </w:pPr>
            <w:r w:rsidRPr="001941B0">
              <w:rPr>
                <w:rFonts w:eastAsia="Calibri" w:cs="Calibri"/>
                <w:b/>
                <w:sz w:val="20"/>
                <w:szCs w:val="20"/>
              </w:rPr>
              <w:t>Dokument stanowiący odwzorowanie cyfrowe dokumentu papierowego musi umożliwiać jednoznaczną identyfikację podmiotu oraz osoby odpowiedzialnych za potwierdzenie zgodności treści cyfrowej z treścią dokumentu papierowego bez konieczności dostępu do zewnętrznych systemów, w tym w szczególności do systemu informatycznego usługodawcy.</w:t>
            </w:r>
          </w:p>
        </w:tc>
        <w:tc>
          <w:tcPr>
            <w:tcW w:w="2855" w:type="dxa"/>
            <w:shd w:val="clear" w:color="auto" w:fill="FFFFFF" w:themeFill="background1"/>
          </w:tcPr>
          <w:p w14:paraId="6B7B4A23" w14:textId="42C5E1A4" w:rsidR="00306E53" w:rsidRPr="001941B0" w:rsidRDefault="00AC5D78" w:rsidP="006E0CB2">
            <w:pPr>
              <w:autoSpaceDE w:val="0"/>
              <w:autoSpaceDN w:val="0"/>
              <w:adjustRightInd w:val="0"/>
              <w:spacing w:after="0" w:line="240" w:lineRule="auto"/>
              <w:rPr>
                <w:b/>
                <w:sz w:val="20"/>
                <w:szCs w:val="20"/>
              </w:rPr>
            </w:pPr>
            <w:r w:rsidRPr="001941B0">
              <w:rPr>
                <w:sz w:val="20"/>
                <w:szCs w:val="20"/>
              </w:rPr>
              <w:lastRenderedPageBreak/>
              <w:t>Uwagi nieuwzględnione</w:t>
            </w:r>
          </w:p>
          <w:p w14:paraId="4040C4EC" w14:textId="77777777" w:rsidR="00243B5C" w:rsidRPr="001941B0" w:rsidRDefault="00243B5C" w:rsidP="006E0CB2">
            <w:pPr>
              <w:autoSpaceDE w:val="0"/>
              <w:autoSpaceDN w:val="0"/>
              <w:adjustRightInd w:val="0"/>
              <w:spacing w:after="0" w:line="240" w:lineRule="auto"/>
              <w:rPr>
                <w:rFonts w:cstheme="minorHAnsi"/>
                <w:sz w:val="20"/>
                <w:szCs w:val="20"/>
              </w:rPr>
            </w:pPr>
          </w:p>
          <w:p w14:paraId="18A9164E" w14:textId="34157F05" w:rsidR="0046338E" w:rsidRPr="001941B0" w:rsidRDefault="00481FAD" w:rsidP="006E0CB2">
            <w:pPr>
              <w:autoSpaceDE w:val="0"/>
              <w:autoSpaceDN w:val="0"/>
              <w:adjustRightInd w:val="0"/>
              <w:spacing w:after="0" w:line="240" w:lineRule="auto"/>
              <w:rPr>
                <w:rFonts w:cstheme="minorHAnsi"/>
                <w:sz w:val="20"/>
                <w:szCs w:val="20"/>
              </w:rPr>
            </w:pPr>
            <w:r w:rsidRPr="001941B0">
              <w:rPr>
                <w:rFonts w:cstheme="minorHAnsi"/>
                <w:sz w:val="20"/>
                <w:szCs w:val="20"/>
              </w:rPr>
              <w:t>D</w:t>
            </w:r>
            <w:r w:rsidR="0046338E" w:rsidRPr="001941B0">
              <w:rPr>
                <w:rFonts w:cstheme="minorHAnsi"/>
                <w:sz w:val="20"/>
                <w:szCs w:val="20"/>
              </w:rPr>
              <w:t xml:space="preserve">igitalizacja </w:t>
            </w:r>
            <w:r w:rsidRPr="001941B0">
              <w:rPr>
                <w:rFonts w:cstheme="minorHAnsi"/>
                <w:sz w:val="20"/>
                <w:szCs w:val="20"/>
              </w:rPr>
              <w:t>dot.</w:t>
            </w:r>
            <w:r w:rsidR="0046338E" w:rsidRPr="001941B0">
              <w:rPr>
                <w:rFonts w:cstheme="minorHAnsi"/>
                <w:sz w:val="20"/>
                <w:szCs w:val="20"/>
              </w:rPr>
              <w:t xml:space="preserve">dokumentu, który już istnieje i </w:t>
            </w:r>
            <w:r w:rsidRPr="001941B0">
              <w:rPr>
                <w:rFonts w:cstheme="minorHAnsi"/>
                <w:sz w:val="20"/>
                <w:szCs w:val="20"/>
              </w:rPr>
              <w:t>potwierdzenie dot. treści</w:t>
            </w:r>
            <w:r w:rsidR="00681353" w:rsidRPr="001941B0">
              <w:rPr>
                <w:rFonts w:cstheme="minorHAnsi"/>
                <w:sz w:val="20"/>
                <w:szCs w:val="20"/>
              </w:rPr>
              <w:t>.</w:t>
            </w:r>
            <w:r w:rsidR="00AB2FB2" w:rsidRPr="001941B0">
              <w:rPr>
                <w:rFonts w:cstheme="minorHAnsi"/>
                <w:sz w:val="20"/>
                <w:szCs w:val="20"/>
              </w:rPr>
              <w:t xml:space="preserve"> Digitalizacja różni się od sporządzania pierwotnego </w:t>
            </w:r>
            <w:r w:rsidR="00C13ED4" w:rsidRPr="001941B0">
              <w:rPr>
                <w:rFonts w:cstheme="minorHAnsi"/>
                <w:sz w:val="20"/>
                <w:szCs w:val="20"/>
              </w:rPr>
              <w:t>dokumentu</w:t>
            </w:r>
            <w:r w:rsidR="00AB2FB2" w:rsidRPr="001941B0">
              <w:rPr>
                <w:rFonts w:cstheme="minorHAnsi"/>
                <w:sz w:val="20"/>
                <w:szCs w:val="20"/>
              </w:rPr>
              <w:t xml:space="preserve">. </w:t>
            </w:r>
            <w:r w:rsidR="00681353" w:rsidRPr="001941B0">
              <w:rPr>
                <w:rFonts w:cstheme="minorHAnsi"/>
                <w:sz w:val="20"/>
                <w:szCs w:val="20"/>
              </w:rPr>
              <w:t xml:space="preserve"> </w:t>
            </w:r>
          </w:p>
          <w:p w14:paraId="05628C31" w14:textId="0FE212CB" w:rsidR="00BC3448" w:rsidRPr="001941B0" w:rsidRDefault="007737A9" w:rsidP="007737A9">
            <w:pPr>
              <w:autoSpaceDE w:val="0"/>
              <w:autoSpaceDN w:val="0"/>
              <w:adjustRightInd w:val="0"/>
              <w:spacing w:after="0" w:line="240" w:lineRule="auto"/>
              <w:rPr>
                <w:rFonts w:cstheme="minorHAnsi"/>
                <w:sz w:val="20"/>
                <w:szCs w:val="20"/>
              </w:rPr>
            </w:pPr>
            <w:r w:rsidRPr="001941B0">
              <w:rPr>
                <w:rFonts w:cstheme="minorHAnsi"/>
                <w:sz w:val="20"/>
                <w:szCs w:val="20"/>
              </w:rPr>
              <w:lastRenderedPageBreak/>
              <w:t>P</w:t>
            </w:r>
            <w:r w:rsidR="00477B0C" w:rsidRPr="001941B0">
              <w:rPr>
                <w:rFonts w:cstheme="minorHAnsi"/>
                <w:sz w:val="20"/>
                <w:szCs w:val="20"/>
              </w:rPr>
              <w:t>ieczęć nie ma charakteru pierwotnego potwierdzenia dokumentacji</w:t>
            </w:r>
            <w:r w:rsidR="006134A1" w:rsidRPr="001941B0">
              <w:rPr>
                <w:rFonts w:cstheme="minorHAnsi"/>
                <w:sz w:val="20"/>
                <w:szCs w:val="20"/>
              </w:rPr>
              <w:t>.</w:t>
            </w:r>
          </w:p>
          <w:p w14:paraId="0D37C967" w14:textId="76C65A4A" w:rsidR="00481FAD" w:rsidRPr="001941B0" w:rsidRDefault="00481FAD" w:rsidP="007737A9">
            <w:pPr>
              <w:autoSpaceDE w:val="0"/>
              <w:autoSpaceDN w:val="0"/>
              <w:adjustRightInd w:val="0"/>
              <w:spacing w:after="0" w:line="240" w:lineRule="auto"/>
              <w:rPr>
                <w:rFonts w:cstheme="minorHAnsi"/>
                <w:sz w:val="20"/>
                <w:szCs w:val="20"/>
              </w:rPr>
            </w:pPr>
            <w:r w:rsidRPr="001941B0">
              <w:rPr>
                <w:rFonts w:cstheme="minorHAnsi"/>
                <w:sz w:val="20"/>
                <w:szCs w:val="20"/>
              </w:rPr>
              <w:t>Należy wskazać że stosowanie pieczęci ma charakter fakultatywny.</w:t>
            </w:r>
          </w:p>
          <w:p w14:paraId="70B9660C" w14:textId="77777777" w:rsidR="00AC5D78" w:rsidRPr="001941B0" w:rsidRDefault="00AC5D78" w:rsidP="006E0CB2">
            <w:pPr>
              <w:autoSpaceDE w:val="0"/>
              <w:autoSpaceDN w:val="0"/>
              <w:adjustRightInd w:val="0"/>
              <w:spacing w:after="0" w:line="240" w:lineRule="auto"/>
              <w:rPr>
                <w:rFonts w:cstheme="minorHAnsi"/>
                <w:sz w:val="20"/>
                <w:szCs w:val="20"/>
              </w:rPr>
            </w:pPr>
          </w:p>
          <w:p w14:paraId="6762406C" w14:textId="1BCF84B2" w:rsidR="00306E53" w:rsidRPr="001941B0" w:rsidRDefault="00306E53" w:rsidP="006E0CB2">
            <w:pPr>
              <w:autoSpaceDE w:val="0"/>
              <w:autoSpaceDN w:val="0"/>
              <w:adjustRightInd w:val="0"/>
              <w:spacing w:after="0" w:line="240" w:lineRule="auto"/>
              <w:rPr>
                <w:rFonts w:cstheme="minorHAnsi"/>
                <w:sz w:val="20"/>
                <w:szCs w:val="20"/>
              </w:rPr>
            </w:pPr>
          </w:p>
        </w:tc>
      </w:tr>
      <w:tr w:rsidR="00FC7212" w:rsidRPr="001941B0" w14:paraId="680203EE" w14:textId="77777777" w:rsidTr="7139DBB9">
        <w:tc>
          <w:tcPr>
            <w:tcW w:w="1125" w:type="dxa"/>
            <w:shd w:val="clear" w:color="auto" w:fill="FFFFFF" w:themeFill="background1"/>
          </w:tcPr>
          <w:p w14:paraId="4270ADA3"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F930ED5" w14:textId="1DC42CEC"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Polska Izba Informatyki i Telekomunikacji (PIIT)</w:t>
            </w:r>
          </w:p>
          <w:p w14:paraId="77C217BC" w14:textId="2026098A" w:rsidR="00306E53" w:rsidRPr="001941B0" w:rsidRDefault="00306E53" w:rsidP="006E0CB2">
            <w:pPr>
              <w:autoSpaceDE w:val="0"/>
              <w:autoSpaceDN w:val="0"/>
              <w:adjustRightInd w:val="0"/>
              <w:spacing w:after="0" w:line="240" w:lineRule="auto"/>
              <w:rPr>
                <w:rFonts w:cs="Calibri"/>
                <w:bCs/>
                <w:sz w:val="20"/>
                <w:szCs w:val="20"/>
              </w:rPr>
            </w:pPr>
          </w:p>
        </w:tc>
        <w:tc>
          <w:tcPr>
            <w:tcW w:w="1949" w:type="dxa"/>
            <w:shd w:val="clear" w:color="auto" w:fill="FFFFFF" w:themeFill="background1"/>
          </w:tcPr>
          <w:p w14:paraId="6C15791C" w14:textId="532AD77E" w:rsidR="00306E53" w:rsidRPr="00B72E44" w:rsidRDefault="00306E53" w:rsidP="006E0CB2">
            <w:pPr>
              <w:autoSpaceDE w:val="0"/>
              <w:autoSpaceDN w:val="0"/>
              <w:adjustRightInd w:val="0"/>
              <w:spacing w:after="0" w:line="240" w:lineRule="auto"/>
              <w:rPr>
                <w:sz w:val="20"/>
                <w:szCs w:val="20"/>
              </w:rPr>
            </w:pPr>
            <w:r w:rsidRPr="001941B0">
              <w:rPr>
                <w:rFonts w:eastAsia="Calibri" w:cs="Calibri"/>
                <w:sz w:val="20"/>
                <w:szCs w:val="20"/>
              </w:rPr>
              <w:t xml:space="preserve">Art. 5 </w:t>
            </w:r>
          </w:p>
        </w:tc>
        <w:tc>
          <w:tcPr>
            <w:tcW w:w="5652" w:type="dxa"/>
            <w:shd w:val="clear" w:color="auto" w:fill="FFFFFF" w:themeFill="background1"/>
          </w:tcPr>
          <w:p w14:paraId="4C942B4A" w14:textId="6826057E"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cs="Calibri"/>
                <w:sz w:val="20"/>
                <w:szCs w:val="20"/>
              </w:rPr>
              <w:t xml:space="preserve">Treśc przepisu: </w:t>
            </w:r>
            <w:r w:rsidRPr="001941B0">
              <w:rPr>
                <w:rFonts w:eastAsia="Calibri" w:cs="Calibri"/>
                <w:sz w:val="20"/>
                <w:szCs w:val="20"/>
              </w:rPr>
              <w:t xml:space="preserve">2a. Digitalizacja dokumentacji medycznej </w:t>
            </w:r>
            <w:r w:rsidRPr="001941B0">
              <w:rPr>
                <w:rFonts w:eastAsia="Calibri" w:cs="Calibri"/>
                <w:b/>
                <w:sz w:val="20"/>
                <w:szCs w:val="20"/>
              </w:rPr>
              <w:t>może nastąpić również przez sporządzenie jej odwzorowania cyfrowego za pomocą narzędzia informatycznego</w:t>
            </w:r>
            <w:r w:rsidRPr="001941B0">
              <w:rPr>
                <w:rFonts w:eastAsia="Calibri" w:cs="Calibri"/>
                <w:sz w:val="20"/>
                <w:szCs w:val="20"/>
              </w:rPr>
              <w:t xml:space="preserve"> i opatrzenie go kwalifikowanym podpisem elektronicznym, podpisem zaufanym, podpisem osobistym lub pieczęcią elektroniczną przez osobę upoważnioną przez usługodawcę do potwierdzenia zgodności odwzorowania cyfrowego z dokumentem w postaci papierowej.</w:t>
            </w:r>
          </w:p>
          <w:p w14:paraId="4DB406C0" w14:textId="2693BF05" w:rsidR="00306E53" w:rsidRPr="001941B0" w:rsidRDefault="00306E53" w:rsidP="006E0CB2">
            <w:pPr>
              <w:autoSpaceDE w:val="0"/>
              <w:autoSpaceDN w:val="0"/>
              <w:adjustRightInd w:val="0"/>
              <w:spacing w:after="0" w:line="240" w:lineRule="auto"/>
              <w:rPr>
                <w:rFonts w:eastAsia="Calibri" w:cs="Calibri"/>
                <w:sz w:val="20"/>
                <w:szCs w:val="20"/>
              </w:rPr>
            </w:pPr>
          </w:p>
          <w:p w14:paraId="0ED42415" w14:textId="09113FB2"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Komentarz: Wprowadzenie tego przepisu wydaje się niezrozumiałe. Bowiem trudno sobie wyobrazić, że digitalizacja, o której mowa we wcześniejszym ust. 2 może następować bez stosowania narzędzi informatycznych. Usunięcie ust. 2a nie przeszkadza wprowadzeniu przepisu zawartego w następnym proponowanym ust. 2b. Jeżeli Projektodawca koniecznie chce przed przepisem zawartym w ust. 2b wprowadzić pojęcie „narzędzie informatyczne”, to można to zrobić dodając to określenie do ust. 2</w:t>
            </w:r>
          </w:p>
        </w:tc>
        <w:tc>
          <w:tcPr>
            <w:tcW w:w="2855" w:type="dxa"/>
            <w:shd w:val="clear" w:color="auto" w:fill="FFFFFF" w:themeFill="background1"/>
          </w:tcPr>
          <w:p w14:paraId="23A4945C" w14:textId="77777777" w:rsidR="00306E53" w:rsidRPr="001941B0" w:rsidRDefault="005B6893" w:rsidP="006E0CB2">
            <w:pPr>
              <w:autoSpaceDE w:val="0"/>
              <w:autoSpaceDN w:val="0"/>
              <w:adjustRightInd w:val="0"/>
              <w:spacing w:after="0" w:line="240" w:lineRule="auto"/>
              <w:rPr>
                <w:rFonts w:cstheme="minorHAnsi"/>
                <w:b/>
                <w:sz w:val="20"/>
                <w:szCs w:val="20"/>
              </w:rPr>
            </w:pPr>
            <w:r w:rsidRPr="001941B0">
              <w:rPr>
                <w:rFonts w:cstheme="minorHAnsi"/>
                <w:b/>
                <w:sz w:val="20"/>
                <w:szCs w:val="20"/>
              </w:rPr>
              <w:t>Uwaga nieuwzględniona</w:t>
            </w:r>
          </w:p>
          <w:p w14:paraId="7B78E54F" w14:textId="735B3770" w:rsidR="00306E53" w:rsidRPr="001941B0" w:rsidRDefault="006B27A0" w:rsidP="006E0CB2">
            <w:pPr>
              <w:autoSpaceDE w:val="0"/>
              <w:autoSpaceDN w:val="0"/>
              <w:adjustRightInd w:val="0"/>
              <w:spacing w:after="0" w:line="240" w:lineRule="auto"/>
              <w:rPr>
                <w:rFonts w:cstheme="minorHAnsi"/>
                <w:sz w:val="20"/>
                <w:szCs w:val="20"/>
              </w:rPr>
            </w:pPr>
            <w:r w:rsidRPr="001941B0">
              <w:rPr>
                <w:rFonts w:cstheme="minorHAnsi"/>
                <w:sz w:val="20"/>
                <w:szCs w:val="20"/>
              </w:rPr>
              <w:t>Uwaga ma c</w:t>
            </w:r>
            <w:r w:rsidR="00E23959" w:rsidRPr="001941B0">
              <w:rPr>
                <w:rFonts w:cstheme="minorHAnsi"/>
                <w:sz w:val="20"/>
                <w:szCs w:val="20"/>
              </w:rPr>
              <w:t>harakter</w:t>
            </w:r>
            <w:r w:rsidRPr="001941B0">
              <w:rPr>
                <w:rFonts w:cstheme="minorHAnsi"/>
                <w:sz w:val="20"/>
                <w:szCs w:val="20"/>
              </w:rPr>
              <w:t xml:space="preserve"> </w:t>
            </w:r>
            <w:r w:rsidR="00E23959" w:rsidRPr="001941B0">
              <w:rPr>
                <w:rFonts w:cstheme="minorHAnsi"/>
                <w:sz w:val="20"/>
                <w:szCs w:val="20"/>
              </w:rPr>
              <w:t>legislacyjny i ostateczn</w:t>
            </w:r>
            <w:r w:rsidR="006134A1" w:rsidRPr="001941B0">
              <w:rPr>
                <w:rFonts w:cstheme="minorHAnsi"/>
                <w:sz w:val="20"/>
                <w:szCs w:val="20"/>
              </w:rPr>
              <w:t>a</w:t>
            </w:r>
            <w:r w:rsidR="00E23959" w:rsidRPr="001941B0">
              <w:rPr>
                <w:rFonts w:cstheme="minorHAnsi"/>
                <w:sz w:val="20"/>
                <w:szCs w:val="20"/>
              </w:rPr>
              <w:t xml:space="preserve"> </w:t>
            </w:r>
            <w:r w:rsidR="00A17D56" w:rsidRPr="001941B0">
              <w:rPr>
                <w:rFonts w:cstheme="minorHAnsi"/>
                <w:sz w:val="20"/>
                <w:szCs w:val="20"/>
              </w:rPr>
              <w:t xml:space="preserve">redakcja przepisu </w:t>
            </w:r>
            <w:r w:rsidR="00E23959" w:rsidRPr="001941B0">
              <w:rPr>
                <w:rFonts w:cstheme="minorHAnsi"/>
                <w:sz w:val="20"/>
                <w:szCs w:val="20"/>
              </w:rPr>
              <w:t>zostanie uzgodniona z RCL</w:t>
            </w:r>
            <w:r w:rsidR="00501435" w:rsidRPr="001941B0">
              <w:rPr>
                <w:rFonts w:cstheme="minorHAnsi"/>
                <w:sz w:val="20"/>
                <w:szCs w:val="20"/>
              </w:rPr>
              <w:t>.</w:t>
            </w:r>
          </w:p>
        </w:tc>
      </w:tr>
      <w:tr w:rsidR="00FC7212" w:rsidRPr="001941B0" w14:paraId="3EF53B6E" w14:textId="77777777" w:rsidTr="7139DBB9">
        <w:tc>
          <w:tcPr>
            <w:tcW w:w="1125" w:type="dxa"/>
            <w:shd w:val="clear" w:color="auto" w:fill="FFFFFF" w:themeFill="background1"/>
          </w:tcPr>
          <w:p w14:paraId="305DA198"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30D1FC9" w14:textId="3AA9C364"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Polska Izba Informatyki i Telekomunikacji (PIIT)</w:t>
            </w:r>
          </w:p>
        </w:tc>
        <w:tc>
          <w:tcPr>
            <w:tcW w:w="1949" w:type="dxa"/>
            <w:shd w:val="clear" w:color="auto" w:fill="FFFFFF" w:themeFill="background1"/>
          </w:tcPr>
          <w:p w14:paraId="79891425" w14:textId="1A1C5685" w:rsidR="00306E53" w:rsidRPr="001941B0" w:rsidRDefault="00306E53" w:rsidP="00B72E44">
            <w:pPr>
              <w:autoSpaceDE w:val="0"/>
              <w:autoSpaceDN w:val="0"/>
              <w:adjustRightInd w:val="0"/>
              <w:spacing w:after="0" w:line="240" w:lineRule="auto"/>
              <w:rPr>
                <w:rFonts w:eastAsia="Aptos" w:cs="Aptos"/>
                <w:sz w:val="20"/>
                <w:szCs w:val="20"/>
              </w:rPr>
            </w:pPr>
            <w:r w:rsidRPr="001941B0">
              <w:rPr>
                <w:rFonts w:eastAsia="Calibri" w:cs="Calibri"/>
                <w:sz w:val="20"/>
                <w:szCs w:val="20"/>
              </w:rPr>
              <w:t xml:space="preserve">Art. 5 </w:t>
            </w:r>
          </w:p>
        </w:tc>
        <w:tc>
          <w:tcPr>
            <w:tcW w:w="5652" w:type="dxa"/>
            <w:shd w:val="clear" w:color="auto" w:fill="FFFFFF" w:themeFill="background1"/>
          </w:tcPr>
          <w:p w14:paraId="43EEF256" w14:textId="66462A26"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cs="Calibri"/>
                <w:sz w:val="20"/>
                <w:szCs w:val="20"/>
              </w:rPr>
              <w:t xml:space="preserve">Treść przepisu: </w:t>
            </w:r>
            <w:r w:rsidRPr="001941B0">
              <w:rPr>
                <w:rFonts w:eastAsia="Calibri" w:cs="Calibri"/>
                <w:i/>
                <w:sz w:val="20"/>
                <w:szCs w:val="20"/>
              </w:rPr>
              <w:t>Jednostka podległa ministrowi właściwemu do spraw zdrowia, właściwa w zakresie systemów informacyjnych ochrony zdrowia może udostępniać nieodpłatnie narzędzie informatyczne przeznaczone do digitalizacji dokumentacji medycznej</w:t>
            </w:r>
          </w:p>
          <w:p w14:paraId="382A4EAB" w14:textId="7837F837" w:rsidR="00306E53" w:rsidRPr="001941B0" w:rsidRDefault="00306E53" w:rsidP="006E0CB2">
            <w:pPr>
              <w:autoSpaceDE w:val="0"/>
              <w:autoSpaceDN w:val="0"/>
              <w:adjustRightInd w:val="0"/>
              <w:spacing w:after="0" w:line="240" w:lineRule="auto"/>
              <w:rPr>
                <w:rFonts w:eastAsia="Calibri" w:cs="Calibri"/>
                <w:i/>
                <w:sz w:val="20"/>
                <w:szCs w:val="20"/>
              </w:rPr>
            </w:pPr>
          </w:p>
          <w:p w14:paraId="4CE956F4" w14:textId="19E110DB" w:rsidR="00306E53" w:rsidRPr="001941B0" w:rsidRDefault="00306E53" w:rsidP="006E0CB2">
            <w:pPr>
              <w:autoSpaceDE w:val="0"/>
              <w:autoSpaceDN w:val="0"/>
              <w:adjustRightInd w:val="0"/>
              <w:spacing w:after="0" w:line="240" w:lineRule="auto"/>
              <w:rPr>
                <w:rFonts w:eastAsia="Calibri" w:cs="Calibri"/>
                <w:i/>
                <w:sz w:val="20"/>
                <w:szCs w:val="20"/>
              </w:rPr>
            </w:pPr>
            <w:r w:rsidRPr="001941B0">
              <w:rPr>
                <w:rFonts w:eastAsia="Calibri" w:cs="Calibri"/>
                <w:i/>
                <w:sz w:val="20"/>
                <w:szCs w:val="20"/>
              </w:rPr>
              <w:t xml:space="preserve">Komentarz: </w:t>
            </w:r>
            <w:r w:rsidRPr="001941B0">
              <w:rPr>
                <w:rFonts w:eastAsia="Calibri" w:cs="Calibri"/>
                <w:b/>
                <w:sz w:val="20"/>
                <w:szCs w:val="20"/>
              </w:rPr>
              <w:t>Uwaga 1.</w:t>
            </w:r>
            <w:r w:rsidRPr="001941B0">
              <w:rPr>
                <w:rFonts w:eastAsia="Calibri" w:cs="Calibri"/>
                <w:sz w:val="20"/>
                <w:szCs w:val="20"/>
              </w:rPr>
              <w:t>Udostępnienie narzędzia nieodpłatnie może faktycznie przyczynić się do większej skali digitalizacji dokumentacji medycznej będącej w postaci papierowej. Jednak z „Uzasadnienia” wynika, że to narzędzie będzie dopiero tworzyć jednostka podległa ministrowi zdrowia. Pytanie, czy nie można wykorzystać oferowanych na rynku sprawdzonych rozwiązań?</w:t>
            </w:r>
          </w:p>
          <w:p w14:paraId="2DA915FE" w14:textId="6288A9C0" w:rsidR="00306E53" w:rsidRPr="001941B0" w:rsidRDefault="00306E53" w:rsidP="006E0CB2">
            <w:pPr>
              <w:autoSpaceDE w:val="0"/>
              <w:autoSpaceDN w:val="0"/>
              <w:adjustRightInd w:val="0"/>
              <w:spacing w:after="0" w:line="240" w:lineRule="auto"/>
              <w:rPr>
                <w:sz w:val="20"/>
                <w:szCs w:val="20"/>
              </w:rPr>
            </w:pPr>
            <w:r w:rsidRPr="001941B0">
              <w:rPr>
                <w:rFonts w:eastAsia="Calibri" w:cs="Calibri"/>
                <w:b/>
                <w:sz w:val="20"/>
                <w:szCs w:val="20"/>
              </w:rPr>
              <w:t xml:space="preserve">Uwaga 2. </w:t>
            </w:r>
            <w:r w:rsidRPr="001941B0">
              <w:rPr>
                <w:rFonts w:eastAsia="Calibri" w:cs="Calibri"/>
                <w:sz w:val="20"/>
                <w:szCs w:val="20"/>
              </w:rPr>
              <w:t xml:space="preserve">Projektodawca nie wziął pod uwagę możliwości całkowitej cyfryzacji wszystkich procesów medycznych, co mogłoby wyeliminować tworzenie dokumentów papierowych i koszty związane z ich digitalizacją. Przepisy ustawy powinny eliminować przede wszystkim istniejące jeszcze prawne bariery pełnej cyfryzacji, bo technologicznie już te bariery </w:t>
            </w:r>
            <w:r w:rsidRPr="001941B0">
              <w:rPr>
                <w:rFonts w:eastAsia="Calibri" w:cs="Calibri"/>
                <w:sz w:val="20"/>
                <w:szCs w:val="20"/>
              </w:rPr>
              <w:lastRenderedPageBreak/>
              <w:t>zostały pokonane. Stąd zaproponowano zmianę w art. 2 pkt 6 b) ustawy w celu umożliwienie tworzenie dokumentacji w postaci elektronicznej również w przypadkach, gdy dokumentacja wymaga podpisania przez osobę (najczęściej pacjenta) nie posiadającą możliwości złożenia podpisu elektronicznego. Wydaje się oczywiste, że Ministerstwo Zdrowia powinno wspierać takie rozwiązania, które wyeliminowałoby tworzenie nowych dokumentów papierowych, aby uniknąć błędnego koła: z jednej strony digitalizujemy dokumenty papierowe, a jednocześnie nie ograniczamy tworzenia nowych papierowych dokumentów wymagających digitalizacji i ponoszenia związanych z tym kosztów.</w:t>
            </w:r>
          </w:p>
          <w:p w14:paraId="7E80D926" w14:textId="614993F2" w:rsidR="00306E53" w:rsidRPr="001941B0" w:rsidRDefault="00306E53" w:rsidP="006E0CB2">
            <w:pPr>
              <w:autoSpaceDE w:val="0"/>
              <w:autoSpaceDN w:val="0"/>
              <w:adjustRightInd w:val="0"/>
              <w:spacing w:after="0" w:line="240" w:lineRule="auto"/>
              <w:rPr>
                <w:sz w:val="20"/>
                <w:szCs w:val="20"/>
              </w:rPr>
            </w:pPr>
            <w:r w:rsidRPr="001941B0">
              <w:rPr>
                <w:rFonts w:eastAsia="Calibri" w:cs="Calibri"/>
                <w:sz w:val="20"/>
                <w:szCs w:val="20"/>
              </w:rPr>
              <w:t>Może część środków przeznaczonych na tworzenie systemu digitalizacji przeznaczyć na udostępnianie rozwiązań, które zapobiegną tworzeniu nowych dokumentów w postaci papierowej,</w:t>
            </w:r>
          </w:p>
          <w:p w14:paraId="35E5E038" w14:textId="3268F1C9" w:rsidR="00306E53" w:rsidRPr="001941B0" w:rsidRDefault="00306E53" w:rsidP="006E0CB2">
            <w:pPr>
              <w:autoSpaceDE w:val="0"/>
              <w:autoSpaceDN w:val="0"/>
              <w:adjustRightInd w:val="0"/>
              <w:spacing w:after="0" w:line="240" w:lineRule="auto"/>
              <w:rPr>
                <w:rFonts w:eastAsia="Calibri" w:cs="Calibri"/>
                <w:sz w:val="20"/>
                <w:szCs w:val="20"/>
              </w:rPr>
            </w:pPr>
          </w:p>
          <w:p w14:paraId="1AD6BD24" w14:textId="00955E41"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 xml:space="preserve">Proponowana zmiana: </w:t>
            </w:r>
            <w:r w:rsidRPr="001941B0">
              <w:rPr>
                <w:rFonts w:eastAsia="Calibri" w:cs="Calibri"/>
                <w:b/>
                <w:sz w:val="20"/>
                <w:szCs w:val="20"/>
              </w:rPr>
              <w:t>Minister właściwy do spraw ochrony zdrowia w porozumieniu z ministrem właściwym ds. informatyzacji określi warunki techniczne oraz bezpieczeństwa dla procesów, usług i narzędzi informatycznych przeznaczonych do digitalizacji dokumentacji medycznej, przy uwzględnieniu analizy ryzyka oraz wymagań norm i standardów</w:t>
            </w:r>
            <w:r w:rsidRPr="001941B0">
              <w:rPr>
                <w:rFonts w:eastAsia="Calibri" w:cs="Calibri"/>
                <w:sz w:val="20"/>
                <w:szCs w:val="20"/>
              </w:rPr>
              <w:t>.</w:t>
            </w:r>
          </w:p>
        </w:tc>
        <w:tc>
          <w:tcPr>
            <w:tcW w:w="2855" w:type="dxa"/>
            <w:shd w:val="clear" w:color="auto" w:fill="FFFFFF" w:themeFill="background1"/>
          </w:tcPr>
          <w:p w14:paraId="0A419B10" w14:textId="77777777" w:rsidR="00306E53" w:rsidRPr="001941B0" w:rsidRDefault="00CD1140"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143ACBBF" w14:textId="585BAB3B" w:rsidR="00CD1140" w:rsidRPr="001941B0" w:rsidRDefault="47967B9A" w:rsidP="006E0CB2">
            <w:pPr>
              <w:autoSpaceDE w:val="0"/>
              <w:autoSpaceDN w:val="0"/>
              <w:adjustRightInd w:val="0"/>
              <w:spacing w:after="0" w:line="240" w:lineRule="auto"/>
              <w:rPr>
                <w:sz w:val="20"/>
                <w:szCs w:val="20"/>
              </w:rPr>
            </w:pPr>
            <w:r w:rsidRPr="001941B0">
              <w:rPr>
                <w:sz w:val="20"/>
                <w:szCs w:val="20"/>
              </w:rPr>
              <w:t>Projektowane</w:t>
            </w:r>
            <w:r w:rsidR="00CD1140" w:rsidRPr="001941B0">
              <w:rPr>
                <w:sz w:val="20"/>
                <w:szCs w:val="20"/>
              </w:rPr>
              <w:t xml:space="preserve"> narzędzie do digitalizacji zostało uzgodnione z </w:t>
            </w:r>
            <w:r w:rsidR="270E950A" w:rsidRPr="001941B0">
              <w:rPr>
                <w:sz w:val="20"/>
                <w:szCs w:val="20"/>
              </w:rPr>
              <w:t>K</w:t>
            </w:r>
            <w:r w:rsidR="4D1DFCAE" w:rsidRPr="001941B0">
              <w:rPr>
                <w:sz w:val="20"/>
                <w:szCs w:val="20"/>
              </w:rPr>
              <w:t xml:space="preserve">omisją </w:t>
            </w:r>
            <w:r w:rsidR="270E950A" w:rsidRPr="001941B0">
              <w:rPr>
                <w:sz w:val="20"/>
                <w:szCs w:val="20"/>
              </w:rPr>
              <w:t>E</w:t>
            </w:r>
            <w:r w:rsidR="3D8346D2" w:rsidRPr="001941B0">
              <w:rPr>
                <w:sz w:val="20"/>
                <w:szCs w:val="20"/>
              </w:rPr>
              <w:t>uropejską</w:t>
            </w:r>
            <w:r w:rsidR="00CD1140" w:rsidRPr="001941B0">
              <w:rPr>
                <w:sz w:val="20"/>
                <w:szCs w:val="20"/>
              </w:rPr>
              <w:t xml:space="preserve"> jako jeden ze wskaźników osiągnięcia kamieni milowych</w:t>
            </w:r>
            <w:r w:rsidR="421CB09B" w:rsidRPr="001941B0">
              <w:rPr>
                <w:sz w:val="20"/>
                <w:szCs w:val="20"/>
              </w:rPr>
              <w:t>,</w:t>
            </w:r>
            <w:r w:rsidR="00CD1140" w:rsidRPr="001941B0">
              <w:rPr>
                <w:sz w:val="20"/>
                <w:szCs w:val="20"/>
              </w:rPr>
              <w:t xml:space="preserve"> a jego celowość została zatwierdzona.</w:t>
            </w:r>
          </w:p>
          <w:p w14:paraId="3B22BE8F" w14:textId="0B7F0488" w:rsidR="00306E53" w:rsidRPr="001941B0" w:rsidRDefault="00CD1140" w:rsidP="006E0CB2">
            <w:pPr>
              <w:autoSpaceDE w:val="0"/>
              <w:autoSpaceDN w:val="0"/>
              <w:adjustRightInd w:val="0"/>
              <w:spacing w:after="0" w:line="240" w:lineRule="auto"/>
              <w:rPr>
                <w:rFonts w:cstheme="minorHAnsi"/>
                <w:sz w:val="20"/>
                <w:szCs w:val="20"/>
              </w:rPr>
            </w:pPr>
            <w:r w:rsidRPr="001941B0">
              <w:rPr>
                <w:rFonts w:cstheme="minorHAnsi"/>
                <w:sz w:val="20"/>
                <w:szCs w:val="20"/>
              </w:rPr>
              <w:t>Wprowadzenie narzędzia jest elementem rozwoju e-usług.</w:t>
            </w:r>
          </w:p>
        </w:tc>
      </w:tr>
      <w:tr w:rsidR="00FC7212" w:rsidRPr="001941B0" w14:paraId="3811DB35" w14:textId="77777777" w:rsidTr="7139DBB9">
        <w:tc>
          <w:tcPr>
            <w:tcW w:w="1125" w:type="dxa"/>
            <w:shd w:val="clear" w:color="auto" w:fill="FFFFFF" w:themeFill="background1"/>
          </w:tcPr>
          <w:p w14:paraId="60F5CFBD"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2E4E139" w14:textId="3AA9C364" w:rsidR="00306E53" w:rsidRPr="001941B0" w:rsidRDefault="00306E53" w:rsidP="006E0CB2">
            <w:pPr>
              <w:spacing w:after="0" w:line="240" w:lineRule="auto"/>
              <w:rPr>
                <w:rFonts w:eastAsia="Calibri" w:cs="Calibri"/>
                <w:sz w:val="20"/>
                <w:szCs w:val="20"/>
              </w:rPr>
            </w:pPr>
            <w:r w:rsidRPr="001941B0">
              <w:rPr>
                <w:rFonts w:eastAsia="Calibri" w:cs="Calibri"/>
                <w:sz w:val="20"/>
                <w:szCs w:val="20"/>
              </w:rPr>
              <w:t>Polska Izba Informatyki i Telekomunikacji (PIIT)</w:t>
            </w:r>
          </w:p>
        </w:tc>
        <w:tc>
          <w:tcPr>
            <w:tcW w:w="1949" w:type="dxa"/>
            <w:shd w:val="clear" w:color="auto" w:fill="FFFFFF" w:themeFill="background1"/>
          </w:tcPr>
          <w:p w14:paraId="4B0B9560" w14:textId="13044C02" w:rsidR="00B72E44" w:rsidRPr="001941B0" w:rsidRDefault="00306E53" w:rsidP="00B72E44">
            <w:pPr>
              <w:spacing w:after="0" w:line="240" w:lineRule="auto"/>
              <w:rPr>
                <w:rFonts w:eastAsia="Calibri" w:cs="Calibri"/>
                <w:sz w:val="20"/>
                <w:szCs w:val="20"/>
              </w:rPr>
            </w:pPr>
            <w:r w:rsidRPr="001941B0">
              <w:rPr>
                <w:rFonts w:eastAsia="Calibri" w:cs="Calibri"/>
                <w:sz w:val="20"/>
                <w:szCs w:val="20"/>
              </w:rPr>
              <w:t xml:space="preserve">Art. 5 </w:t>
            </w:r>
          </w:p>
          <w:p w14:paraId="7D6F9A35" w14:textId="4D398CB2" w:rsidR="00306E53" w:rsidRPr="001941B0" w:rsidRDefault="00306E53" w:rsidP="006E0CB2">
            <w:pPr>
              <w:spacing w:after="0" w:line="240" w:lineRule="auto"/>
              <w:rPr>
                <w:rFonts w:eastAsia="Calibri" w:cs="Calibri"/>
                <w:sz w:val="20"/>
                <w:szCs w:val="20"/>
              </w:rPr>
            </w:pPr>
          </w:p>
        </w:tc>
        <w:tc>
          <w:tcPr>
            <w:tcW w:w="5652" w:type="dxa"/>
            <w:shd w:val="clear" w:color="auto" w:fill="FFFFFF" w:themeFill="background1"/>
          </w:tcPr>
          <w:p w14:paraId="71B84D4F" w14:textId="0D86484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Komentarz: </w:t>
            </w:r>
            <w:r w:rsidRPr="001941B0">
              <w:rPr>
                <w:rFonts w:eastAsia="Calibri" w:cs="Calibri"/>
                <w:sz w:val="20"/>
                <w:szCs w:val="20"/>
              </w:rPr>
              <w:t xml:space="preserve">Proponowana zmiana zapewnia zgodność z Konwencją ONZ o prawach osób niepełnosprawnych oraz dyrektywą Parlamentu Europejskiego i Rady (UE) 2016/2102. </w:t>
            </w:r>
          </w:p>
          <w:p w14:paraId="075FBE82" w14:textId="0EE2CF62" w:rsidR="00306E53" w:rsidRPr="001941B0" w:rsidRDefault="00306E53" w:rsidP="006E0CB2">
            <w:pPr>
              <w:autoSpaceDE w:val="0"/>
              <w:autoSpaceDN w:val="0"/>
              <w:adjustRightInd w:val="0"/>
              <w:spacing w:after="0" w:line="240" w:lineRule="auto"/>
              <w:rPr>
                <w:sz w:val="20"/>
                <w:szCs w:val="20"/>
              </w:rPr>
            </w:pPr>
            <w:r w:rsidRPr="001941B0">
              <w:rPr>
                <w:rFonts w:eastAsia="Calibri" w:cs="Calibri"/>
                <w:sz w:val="20"/>
                <w:szCs w:val="20"/>
              </w:rPr>
              <w:t xml:space="preserve">Uwzględnia wzrost wymagań w zakresie dostępności cyfrowej dla osób starszych i z niepełnosprawnościami. Odesłanie do jednolitej normy europejskiej jest spójne z dyrektywą 2019/882, która określiła wymagania dostępności w odniesieniu do niektórych towarów i usług w zakresie obrotu gospodarczego. Wymagania dla e-usług, w szczególności w zakresie ochrony zdrowia powinny odpowiadać poziomowi co najmniej dyrektywy EAA. Należy przy tym uwzględnić fakt, że przepisy unijne i krajowe w zakresie dostępności cyfrowej </w:t>
            </w:r>
            <w:r w:rsidRPr="001941B0">
              <w:rPr>
                <w:rFonts w:eastAsia="Calibri" w:cs="Calibri"/>
                <w:sz w:val="20"/>
                <w:szCs w:val="20"/>
              </w:rPr>
              <w:lastRenderedPageBreak/>
              <w:t>sektora finansów publicznych poprzedzały te zdefiniowane EAA. System teleinformatyczny powinien umożliwiać dostęp do danych wszystkim obywatelom, bez względu na ich niedołężność lub niepełnosprawność.</w:t>
            </w:r>
          </w:p>
          <w:p w14:paraId="2A1CBCAB" w14:textId="270FF622" w:rsidR="00306E53" w:rsidRPr="001941B0" w:rsidRDefault="00306E53" w:rsidP="006E0CB2">
            <w:pPr>
              <w:autoSpaceDE w:val="0"/>
              <w:autoSpaceDN w:val="0"/>
              <w:adjustRightInd w:val="0"/>
              <w:spacing w:after="0" w:line="240" w:lineRule="auto"/>
              <w:rPr>
                <w:rFonts w:eastAsia="Calibri" w:cs="Calibri"/>
                <w:sz w:val="20"/>
                <w:szCs w:val="20"/>
              </w:rPr>
            </w:pPr>
          </w:p>
          <w:p w14:paraId="2A504BA9" w14:textId="56680DF5"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Proponowana zmiana: W art. 5 projektu należy wprowadzić pkt. f) w następującym brzmieniu:</w:t>
            </w:r>
          </w:p>
          <w:p w14:paraId="62455DBD" w14:textId="3AFBA856" w:rsidR="00306E53" w:rsidRPr="001941B0" w:rsidRDefault="00306E53" w:rsidP="006E0CB2">
            <w:pPr>
              <w:autoSpaceDE w:val="0"/>
              <w:autoSpaceDN w:val="0"/>
              <w:adjustRightInd w:val="0"/>
              <w:spacing w:after="0" w:line="240" w:lineRule="auto"/>
              <w:rPr>
                <w:sz w:val="20"/>
                <w:szCs w:val="20"/>
              </w:rPr>
            </w:pPr>
            <w:r w:rsidRPr="001941B0">
              <w:rPr>
                <w:rFonts w:eastAsia="Calibri" w:cs="Calibri"/>
                <w:sz w:val="20"/>
                <w:szCs w:val="20"/>
              </w:rPr>
              <w:t>W art. 7 ust. 5 otrzymuje brzmienie "</w:t>
            </w:r>
            <w:r w:rsidRPr="001941B0">
              <w:rPr>
                <w:rFonts w:eastAsia="Calibri" w:cs="Calibri"/>
                <w:b/>
                <w:sz w:val="20"/>
                <w:szCs w:val="20"/>
              </w:rPr>
              <w:t xml:space="preserve">1. System teleinformatyczny, </w:t>
            </w:r>
            <w:r w:rsidRPr="001941B0">
              <w:rPr>
                <w:sz w:val="20"/>
                <w:szCs w:val="20"/>
              </w:rPr>
              <w:br/>
            </w:r>
            <w:r w:rsidRPr="001941B0">
              <w:rPr>
                <w:rFonts w:eastAsia="Calibri" w:cs="Calibri"/>
                <w:b/>
                <w:sz w:val="20"/>
                <w:szCs w:val="20"/>
              </w:rPr>
              <w:t xml:space="preserve">o którym mowa w ust. 1, spełnia wymagania dostępności cyfrowej dla osób ze szczególnymi potrzebami określone w: </w:t>
            </w:r>
          </w:p>
          <w:p w14:paraId="1BA2DF37" w14:textId="05005695" w:rsidR="00306E53" w:rsidRPr="001941B0" w:rsidRDefault="00306E53" w:rsidP="006E0CB2">
            <w:pPr>
              <w:autoSpaceDE w:val="0"/>
              <w:autoSpaceDN w:val="0"/>
              <w:adjustRightInd w:val="0"/>
              <w:spacing w:after="0" w:line="240" w:lineRule="auto"/>
              <w:rPr>
                <w:sz w:val="20"/>
                <w:szCs w:val="20"/>
              </w:rPr>
            </w:pPr>
            <w:r w:rsidRPr="001941B0">
              <w:rPr>
                <w:rFonts w:eastAsia="Calibri" w:cs="Calibri"/>
                <w:b/>
                <w:sz w:val="20"/>
                <w:szCs w:val="20"/>
              </w:rPr>
              <w:t>1) ustawie z dnia 19 lipca 2019 r. o zapewnianiu dostępności osobom ze szczególnymi potrzebami (Dz. U. z 2024 r. poz. 1138 i 1572);</w:t>
            </w:r>
          </w:p>
          <w:p w14:paraId="5045640A" w14:textId="77D1431D" w:rsidR="00306E53" w:rsidRPr="001941B0" w:rsidRDefault="00306E53" w:rsidP="006E0CB2">
            <w:pPr>
              <w:autoSpaceDE w:val="0"/>
              <w:autoSpaceDN w:val="0"/>
              <w:adjustRightInd w:val="0"/>
              <w:spacing w:after="0" w:line="240" w:lineRule="auto"/>
              <w:rPr>
                <w:sz w:val="20"/>
                <w:szCs w:val="20"/>
              </w:rPr>
            </w:pPr>
            <w:r w:rsidRPr="001941B0">
              <w:rPr>
                <w:rFonts w:eastAsia="Calibri" w:cs="Calibri"/>
                <w:b/>
                <w:sz w:val="20"/>
                <w:szCs w:val="20"/>
              </w:rPr>
              <w:t>2) ustawie z dnia 4 kwietnia 2019 r. o dostępności cyfrowej stron internetowych i aplikacji mobilnych podmiotów publicznych (Dz. U. z 2019 r. poz. 848) – w zakresie, w jakim stanowią one strony internetowe lub aplikacje mobilne.</w:t>
            </w:r>
          </w:p>
          <w:p w14:paraId="6F36F935" w14:textId="37C52E41" w:rsidR="00306E53" w:rsidRPr="001941B0" w:rsidRDefault="00306E53" w:rsidP="006E0CB2">
            <w:pPr>
              <w:autoSpaceDE w:val="0"/>
              <w:autoSpaceDN w:val="0"/>
              <w:adjustRightInd w:val="0"/>
              <w:spacing w:after="0" w:line="240" w:lineRule="auto"/>
              <w:rPr>
                <w:sz w:val="20"/>
                <w:szCs w:val="20"/>
              </w:rPr>
            </w:pPr>
            <w:r w:rsidRPr="001941B0">
              <w:rPr>
                <w:rFonts w:eastAsia="Calibri" w:cs="Calibri"/>
                <w:b/>
                <w:sz w:val="20"/>
                <w:szCs w:val="20"/>
              </w:rPr>
              <w:t>2. Wymagania dostępności muszą być spełnione co najmniej na poziomie przewidzianym w jednolitej, zharmonizowanej normie europejskiej EN 301 549"</w:t>
            </w:r>
          </w:p>
        </w:tc>
        <w:tc>
          <w:tcPr>
            <w:tcW w:w="2855" w:type="dxa"/>
            <w:shd w:val="clear" w:color="auto" w:fill="FFFFFF" w:themeFill="background1"/>
          </w:tcPr>
          <w:p w14:paraId="6BBEDFD8" w14:textId="3ABB9E6D" w:rsidR="00830126" w:rsidRPr="001941B0" w:rsidRDefault="00830126"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2B0348F0" w14:textId="4FC4D405" w:rsidR="00306E53" w:rsidRPr="001941B0" w:rsidRDefault="00830126"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Zgodność systemu informatycznego wynika z </w:t>
            </w:r>
            <w:r w:rsidR="000A3407" w:rsidRPr="001941B0">
              <w:rPr>
                <w:rFonts w:cstheme="minorHAnsi"/>
                <w:sz w:val="20"/>
                <w:szCs w:val="20"/>
              </w:rPr>
              <w:t>obowiązujących przepisów</w:t>
            </w:r>
            <w:r w:rsidRPr="001941B0">
              <w:rPr>
                <w:rFonts w:cstheme="minorHAnsi"/>
                <w:sz w:val="20"/>
                <w:szCs w:val="20"/>
              </w:rPr>
              <w:t xml:space="preserve">. </w:t>
            </w:r>
          </w:p>
        </w:tc>
      </w:tr>
      <w:tr w:rsidR="00FC7212" w:rsidRPr="001941B0" w14:paraId="5B7C9A1D" w14:textId="77777777" w:rsidTr="7139DBB9">
        <w:tc>
          <w:tcPr>
            <w:tcW w:w="1125" w:type="dxa"/>
            <w:shd w:val="clear" w:color="auto" w:fill="FFFFFF" w:themeFill="background1"/>
          </w:tcPr>
          <w:p w14:paraId="5A4D2C53"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947DDFB" w14:textId="1A5186F8" w:rsidR="00306E53" w:rsidRPr="001941B0" w:rsidRDefault="00306E53" w:rsidP="006E0CB2">
            <w:pPr>
              <w:spacing w:after="0" w:line="240" w:lineRule="auto"/>
              <w:rPr>
                <w:rFonts w:eastAsia="Calibri" w:cs="Calibri"/>
                <w:sz w:val="20"/>
                <w:szCs w:val="20"/>
              </w:rPr>
            </w:pPr>
            <w:r w:rsidRPr="001941B0">
              <w:rPr>
                <w:rFonts w:eastAsia="Calibri" w:cs="Calibri"/>
                <w:sz w:val="20"/>
                <w:szCs w:val="20"/>
              </w:rPr>
              <w:t>INFARMA</w:t>
            </w:r>
          </w:p>
        </w:tc>
        <w:tc>
          <w:tcPr>
            <w:tcW w:w="1949" w:type="dxa"/>
            <w:shd w:val="clear" w:color="auto" w:fill="FFFFFF" w:themeFill="background1"/>
          </w:tcPr>
          <w:p w14:paraId="03733AA1" w14:textId="77777777" w:rsidR="00306E53" w:rsidRPr="001941B0" w:rsidRDefault="00306E53" w:rsidP="006E0CB2">
            <w:pPr>
              <w:spacing w:after="0" w:line="240" w:lineRule="auto"/>
              <w:rPr>
                <w:rFonts w:eastAsia="Calibri" w:cs="Calibri"/>
                <w:sz w:val="20"/>
                <w:szCs w:val="20"/>
              </w:rPr>
            </w:pPr>
            <w:r w:rsidRPr="001941B0">
              <w:rPr>
                <w:rFonts w:eastAsia="Calibri" w:cs="Calibri"/>
                <w:sz w:val="20"/>
                <w:szCs w:val="20"/>
              </w:rPr>
              <w:t>Art. 5 Hurtownia danych e-zdrowia</w:t>
            </w:r>
          </w:p>
          <w:p w14:paraId="7D6E180B" w14:textId="77777777" w:rsidR="00A65BCE" w:rsidRPr="001941B0" w:rsidRDefault="00A65BCE" w:rsidP="006E0CB2">
            <w:pPr>
              <w:spacing w:after="0" w:line="240" w:lineRule="auto"/>
              <w:rPr>
                <w:rFonts w:eastAsia="Calibri" w:cs="Calibri"/>
                <w:sz w:val="20"/>
                <w:szCs w:val="20"/>
              </w:rPr>
            </w:pPr>
          </w:p>
          <w:p w14:paraId="255A2CF4" w14:textId="2EC3A8E5" w:rsidR="00306E53" w:rsidRPr="001941B0" w:rsidRDefault="00306E53" w:rsidP="006E0CB2">
            <w:pPr>
              <w:spacing w:after="0" w:line="240" w:lineRule="auto"/>
              <w:rPr>
                <w:rFonts w:eastAsia="Calibri" w:cs="Calibri"/>
                <w:sz w:val="20"/>
                <w:szCs w:val="20"/>
              </w:rPr>
            </w:pPr>
          </w:p>
        </w:tc>
        <w:tc>
          <w:tcPr>
            <w:tcW w:w="5652" w:type="dxa"/>
            <w:shd w:val="clear" w:color="auto" w:fill="FFFFFF" w:themeFill="background1"/>
          </w:tcPr>
          <w:p w14:paraId="09370741" w14:textId="6FCE62C1" w:rsidR="00306E53" w:rsidRPr="001941B0" w:rsidRDefault="00306E53" w:rsidP="006E0CB2">
            <w:pPr>
              <w:autoSpaceDE w:val="0"/>
              <w:autoSpaceDN w:val="0"/>
              <w:adjustRightInd w:val="0"/>
              <w:spacing w:after="0" w:line="240" w:lineRule="auto"/>
              <w:ind w:firstLine="426"/>
              <w:jc w:val="both"/>
              <w:rPr>
                <w:sz w:val="20"/>
                <w:szCs w:val="20"/>
              </w:rPr>
            </w:pPr>
            <w:r w:rsidRPr="001941B0">
              <w:rPr>
                <w:rFonts w:eastAsia="Calibri" w:cs="Calibri"/>
                <w:sz w:val="20"/>
                <w:szCs w:val="20"/>
              </w:rPr>
              <w:t>W kontekście Hurtowni Danych e</w:t>
            </w:r>
            <w:r w:rsidRPr="001941B0">
              <w:rPr>
                <w:rFonts w:ascii="Cambria Math" w:eastAsia="Calibri" w:hAnsi="Cambria Math" w:cs="Cambria Math"/>
                <w:sz w:val="20"/>
                <w:szCs w:val="20"/>
              </w:rPr>
              <w:t>‑</w:t>
            </w:r>
            <w:r w:rsidRPr="001941B0">
              <w:rPr>
                <w:rFonts w:eastAsia="Calibri" w:cs="Calibri"/>
                <w:sz w:val="20"/>
                <w:szCs w:val="20"/>
              </w:rPr>
              <w:t xml:space="preserve">Zdrowia, INFARMA pozytywnie ocenia jej ustanowienie jako rozwiązania wzmacniającego potencjał analityczny systemu ochrony zdrowia. Jednocześnie zwracamy uwagę, że projekt ustawy koncentruje się na celach i mechanizmach funkcjonowania Hurtowni oraz na udostępnianiu analiz wskazanym instytucjom publicznym, natomiast nie odnosi się wprost do zasad dostępu innych interesariuszy do danych lub wyników analiz na potrzeby wtórnego wykorzystania </w:t>
            </w:r>
            <w:r w:rsidRPr="001941B0">
              <w:rPr>
                <w:rFonts w:eastAsia="Calibri" w:cs="Calibri"/>
                <w:i/>
                <w:sz w:val="20"/>
                <w:szCs w:val="20"/>
              </w:rPr>
              <w:t>secondary use</w:t>
            </w:r>
            <w:r w:rsidRPr="001941B0">
              <w:rPr>
                <w:rFonts w:eastAsia="Calibri" w:cs="Calibri"/>
                <w:sz w:val="20"/>
                <w:szCs w:val="20"/>
              </w:rPr>
              <w:t xml:space="preserve">. Warto rozważyć uzupełnienie rozwiązań w sposób, który będzie spójny kierunkowo </w:t>
            </w:r>
            <w:r w:rsidRPr="001941B0">
              <w:rPr>
                <w:sz w:val="20"/>
                <w:szCs w:val="20"/>
              </w:rPr>
              <w:br/>
            </w:r>
            <w:r w:rsidRPr="001941B0">
              <w:rPr>
                <w:rFonts w:eastAsia="Calibri" w:cs="Calibri"/>
                <w:sz w:val="20"/>
                <w:szCs w:val="20"/>
              </w:rPr>
              <w:t xml:space="preserve">z Europejską Przestrzenią Danych Zdrowotnych (EHDS), w ramach której przewiduje się model kontrolowanego dostępu do danych zdrowotnych na potrzeby wtórnego wykorzystania, przy zachowaniu wysokich standardów bezpieczeństwa, </w:t>
            </w:r>
            <w:r w:rsidRPr="001941B0">
              <w:rPr>
                <w:rFonts w:eastAsia="Calibri" w:cs="Calibri"/>
                <w:sz w:val="20"/>
                <w:szCs w:val="20"/>
              </w:rPr>
              <w:lastRenderedPageBreak/>
              <w:t xml:space="preserve">ochrony prywatności i poufności informacji. </w:t>
            </w:r>
            <w:r w:rsidRPr="001941B0">
              <w:rPr>
                <w:sz w:val="20"/>
                <w:szCs w:val="20"/>
              </w:rPr>
              <w:br/>
            </w:r>
            <w:r w:rsidRPr="001941B0">
              <w:rPr>
                <w:rFonts w:eastAsia="Calibri" w:cs="Calibri"/>
                <w:sz w:val="20"/>
                <w:szCs w:val="20"/>
              </w:rPr>
              <w:t>W naszej ocenie wcześniejsze doprecyzowanie kierunku krajowych rozwiązań w tym zakresie może ograniczyć ryzyko późniejszych, pilnych zmian dostosowawczych oraz sprzyjać efektywnemu wykorzystaniu danych dla poprawy jakości opieki, rozwoju innowacji i lepszego podejmowania decyzji zdrowotnych.</w:t>
            </w:r>
          </w:p>
        </w:tc>
        <w:tc>
          <w:tcPr>
            <w:tcW w:w="2855" w:type="dxa"/>
            <w:shd w:val="clear" w:color="auto" w:fill="FFFFFF" w:themeFill="background1"/>
          </w:tcPr>
          <w:p w14:paraId="7B806279" w14:textId="77777777" w:rsidR="00306E53" w:rsidRPr="001941B0" w:rsidRDefault="00830126"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1F1DF63F" w14:textId="784A2132" w:rsidR="00306E53" w:rsidRPr="001941B0" w:rsidRDefault="333DBE88" w:rsidP="006E0CB2">
            <w:pPr>
              <w:autoSpaceDE w:val="0"/>
              <w:autoSpaceDN w:val="0"/>
              <w:adjustRightInd w:val="0"/>
              <w:spacing w:after="0" w:line="240" w:lineRule="auto"/>
              <w:rPr>
                <w:sz w:val="20"/>
                <w:szCs w:val="20"/>
              </w:rPr>
            </w:pPr>
            <w:r w:rsidRPr="001941B0">
              <w:rPr>
                <w:sz w:val="20"/>
                <w:szCs w:val="20"/>
              </w:rPr>
              <w:t>Implementacj</w:t>
            </w:r>
            <w:r w:rsidR="33183516" w:rsidRPr="001941B0">
              <w:rPr>
                <w:sz w:val="20"/>
                <w:szCs w:val="20"/>
              </w:rPr>
              <w:t>ę</w:t>
            </w:r>
            <w:r w:rsidR="6CA632BB" w:rsidRPr="001941B0">
              <w:rPr>
                <w:sz w:val="20"/>
                <w:szCs w:val="20"/>
              </w:rPr>
              <w:t xml:space="preserve"> przepisów </w:t>
            </w:r>
            <w:r w:rsidR="00830126" w:rsidRPr="001941B0">
              <w:rPr>
                <w:sz w:val="20"/>
                <w:szCs w:val="20"/>
              </w:rPr>
              <w:t xml:space="preserve"> </w:t>
            </w:r>
            <w:r w:rsidR="00DA3F53" w:rsidRPr="001941B0">
              <w:rPr>
                <w:rFonts w:eastAsia="Calibri" w:cs="Calibri"/>
                <w:sz w:val="20"/>
                <w:szCs w:val="20"/>
              </w:rPr>
              <w:t xml:space="preserve">  </w:t>
            </w:r>
            <w:r w:rsidR="6F5CEF86" w:rsidRPr="001941B0">
              <w:rPr>
                <w:rFonts w:eastAsia="Calibri" w:cs="Calibri"/>
                <w:sz w:val="20"/>
                <w:szCs w:val="20"/>
              </w:rPr>
              <w:t>rozporządzenia Parlamentu Europejskiego i Rady (UE) 2025/327 z dnia 11 lutego 2025 r. w sprawie europejskiej przestrzeni danych dotyczących zdrowia oraz zmiany dyrektywy 2011/24/UE i rozporządzenia (UE) 2024/2847</w:t>
            </w:r>
            <w:r w:rsidR="0815FC9D" w:rsidRPr="001941B0">
              <w:rPr>
                <w:rFonts w:eastAsia="Calibri" w:cs="Calibri"/>
                <w:sz w:val="20"/>
                <w:szCs w:val="20"/>
              </w:rPr>
              <w:t xml:space="preserve"> </w:t>
            </w:r>
            <w:r w:rsidR="0AA11C32" w:rsidRPr="001941B0">
              <w:rPr>
                <w:rFonts w:eastAsia="Calibri" w:cs="Calibri"/>
                <w:sz w:val="20"/>
                <w:szCs w:val="20"/>
              </w:rPr>
              <w:t>planuje się wprowadzić w ramach</w:t>
            </w:r>
            <w:r w:rsidR="0815FC9D" w:rsidRPr="001941B0">
              <w:rPr>
                <w:rFonts w:eastAsia="Calibri" w:cs="Calibri"/>
                <w:sz w:val="20"/>
                <w:szCs w:val="20"/>
              </w:rPr>
              <w:t xml:space="preserve"> odrębn</w:t>
            </w:r>
            <w:r w:rsidR="3886EE76" w:rsidRPr="001941B0">
              <w:rPr>
                <w:rFonts w:eastAsia="Calibri" w:cs="Calibri"/>
                <w:sz w:val="20"/>
                <w:szCs w:val="20"/>
              </w:rPr>
              <w:t>ego</w:t>
            </w:r>
            <w:r w:rsidR="1E526659" w:rsidRPr="001941B0">
              <w:rPr>
                <w:rFonts w:eastAsia="Calibri" w:cs="Calibri"/>
                <w:sz w:val="20"/>
                <w:szCs w:val="20"/>
              </w:rPr>
              <w:t xml:space="preserve">, </w:t>
            </w:r>
            <w:r w:rsidR="0041417A" w:rsidRPr="001941B0">
              <w:rPr>
                <w:rFonts w:eastAsia="Calibri" w:cs="Calibri"/>
                <w:sz w:val="20"/>
                <w:szCs w:val="20"/>
              </w:rPr>
              <w:t>kompleksowego</w:t>
            </w:r>
            <w:r w:rsidR="1E526659" w:rsidRPr="001941B0">
              <w:rPr>
                <w:rFonts w:eastAsia="Calibri" w:cs="Calibri"/>
                <w:sz w:val="20"/>
                <w:szCs w:val="20"/>
              </w:rPr>
              <w:t xml:space="preserve"> </w:t>
            </w:r>
            <w:r w:rsidR="0815FC9D" w:rsidRPr="001941B0">
              <w:rPr>
                <w:rFonts w:eastAsia="Calibri" w:cs="Calibri"/>
                <w:sz w:val="20"/>
                <w:szCs w:val="20"/>
              </w:rPr>
              <w:t>projek</w:t>
            </w:r>
            <w:r w:rsidR="4F04E563" w:rsidRPr="001941B0">
              <w:rPr>
                <w:rFonts w:eastAsia="Calibri" w:cs="Calibri"/>
                <w:sz w:val="20"/>
                <w:szCs w:val="20"/>
              </w:rPr>
              <w:t>tu</w:t>
            </w:r>
            <w:r w:rsidR="0815FC9D" w:rsidRPr="001941B0">
              <w:rPr>
                <w:rFonts w:eastAsia="Calibri" w:cs="Calibri"/>
                <w:sz w:val="20"/>
                <w:szCs w:val="20"/>
              </w:rPr>
              <w:t xml:space="preserve"> legislacyjn</w:t>
            </w:r>
            <w:r w:rsidR="1FB78035" w:rsidRPr="001941B0">
              <w:rPr>
                <w:rFonts w:eastAsia="Calibri" w:cs="Calibri"/>
                <w:sz w:val="20"/>
                <w:szCs w:val="20"/>
              </w:rPr>
              <w:t>ego</w:t>
            </w:r>
            <w:r w:rsidR="0815FC9D" w:rsidRPr="001941B0">
              <w:rPr>
                <w:rFonts w:eastAsia="Calibri" w:cs="Calibri"/>
                <w:sz w:val="20"/>
                <w:szCs w:val="20"/>
              </w:rPr>
              <w:t xml:space="preserve">. </w:t>
            </w:r>
          </w:p>
        </w:tc>
      </w:tr>
      <w:tr w:rsidR="00FC7212" w:rsidRPr="001941B0" w14:paraId="03EA444B" w14:textId="77777777" w:rsidTr="7139DBB9">
        <w:tc>
          <w:tcPr>
            <w:tcW w:w="1125" w:type="dxa"/>
            <w:shd w:val="clear" w:color="auto" w:fill="FFFFFF" w:themeFill="background1"/>
          </w:tcPr>
          <w:p w14:paraId="56313276"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869B03C" w14:textId="43080360"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NFZ</w:t>
            </w:r>
          </w:p>
        </w:tc>
        <w:tc>
          <w:tcPr>
            <w:tcW w:w="1949" w:type="dxa"/>
            <w:shd w:val="clear" w:color="auto" w:fill="FFFFFF" w:themeFill="background1"/>
          </w:tcPr>
          <w:p w14:paraId="353D3F75" w14:textId="2EC5BB98" w:rsidR="006832A5" w:rsidRPr="001941B0" w:rsidRDefault="00306E53" w:rsidP="006832A5">
            <w:pPr>
              <w:autoSpaceDE w:val="0"/>
              <w:autoSpaceDN w:val="0"/>
              <w:adjustRightInd w:val="0"/>
              <w:spacing w:after="0" w:line="240" w:lineRule="auto"/>
              <w:rPr>
                <w:rFonts w:eastAsia="Aptos" w:cs="Aptos"/>
                <w:b/>
                <w:sz w:val="20"/>
                <w:szCs w:val="20"/>
              </w:rPr>
            </w:pPr>
            <w:r w:rsidRPr="001941B0">
              <w:rPr>
                <w:rFonts w:eastAsia="Calibri" w:cs="Calibri"/>
                <w:sz w:val="20"/>
                <w:szCs w:val="20"/>
              </w:rPr>
              <w:t xml:space="preserve">art. 5 pkt 1 lit. b </w:t>
            </w:r>
          </w:p>
          <w:p w14:paraId="499ABFB1" w14:textId="7725750F" w:rsidR="00306E53" w:rsidRPr="001941B0" w:rsidRDefault="00306E53" w:rsidP="006E0CB2">
            <w:pPr>
              <w:autoSpaceDE w:val="0"/>
              <w:autoSpaceDN w:val="0"/>
              <w:adjustRightInd w:val="0"/>
              <w:spacing w:after="0" w:line="240" w:lineRule="auto"/>
              <w:rPr>
                <w:rFonts w:eastAsia="Aptos" w:cs="Aptos"/>
                <w:b/>
                <w:sz w:val="20"/>
                <w:szCs w:val="20"/>
              </w:rPr>
            </w:pPr>
          </w:p>
        </w:tc>
        <w:tc>
          <w:tcPr>
            <w:tcW w:w="5652" w:type="dxa"/>
            <w:shd w:val="clear" w:color="auto" w:fill="FFFFFF" w:themeFill="background1"/>
          </w:tcPr>
          <w:p w14:paraId="0CC4CCE4" w14:textId="097886A9" w:rsidR="00306E53" w:rsidRPr="001941B0" w:rsidRDefault="00306E53" w:rsidP="006E0CB2">
            <w:pPr>
              <w:pStyle w:val="Akapitzlist"/>
              <w:autoSpaceDE w:val="0"/>
              <w:autoSpaceDN w:val="0"/>
              <w:adjustRightInd w:val="0"/>
              <w:spacing w:after="0" w:line="240" w:lineRule="auto"/>
              <w:ind w:left="0"/>
              <w:jc w:val="both"/>
              <w:rPr>
                <w:rFonts w:eastAsia="Calibri" w:cs="Calibri"/>
                <w:sz w:val="20"/>
                <w:szCs w:val="20"/>
              </w:rPr>
            </w:pPr>
            <w:r w:rsidRPr="001941B0">
              <w:rPr>
                <w:rFonts w:eastAsia="Calibri" w:cs="Calibri"/>
                <w:sz w:val="20"/>
                <w:szCs w:val="20"/>
              </w:rPr>
              <w:t xml:space="preserve">Nowelizowany </w:t>
            </w:r>
            <w:r w:rsidRPr="001941B0">
              <w:rPr>
                <w:rFonts w:eastAsia="Calibri" w:cs="Calibri"/>
                <w:b/>
                <w:sz w:val="20"/>
                <w:szCs w:val="20"/>
              </w:rPr>
              <w:t>art. 2 pkt 6 ustawy z dnia 28 kwietnia 2011 r. o systemie informacji w ochronie zdrowia (Dz. U. z 2025 r. poz. 302, z późn. zm.), zwanej dalej „ustawą o s.i.o.z.”,</w:t>
            </w:r>
            <w:r w:rsidRPr="001941B0">
              <w:rPr>
                <w:rFonts w:eastAsia="Calibri" w:cs="Calibri"/>
                <w:sz w:val="20"/>
                <w:szCs w:val="20"/>
              </w:rPr>
              <w:t xml:space="preserve"> (art. 5 pkt 1 lit. b projektu) rozszerza katalog dokumentów stanowiących elektroniczną dokumentację medyczną. W opinii NFZ zasadne jest rozważenie jego uzupełnienia o kartę informacyjną z leczenia szpitalnego. </w:t>
            </w:r>
          </w:p>
          <w:p w14:paraId="50B8D798" w14:textId="65508EFF" w:rsidR="00306E53" w:rsidRPr="001941B0" w:rsidRDefault="00306E53" w:rsidP="006E0CB2">
            <w:pPr>
              <w:autoSpaceDE w:val="0"/>
              <w:autoSpaceDN w:val="0"/>
              <w:adjustRightInd w:val="0"/>
              <w:spacing w:after="0" w:line="240" w:lineRule="auto"/>
              <w:jc w:val="both"/>
              <w:rPr>
                <w:sz w:val="20"/>
                <w:szCs w:val="20"/>
              </w:rPr>
            </w:pPr>
            <w:r w:rsidRPr="001941B0">
              <w:rPr>
                <w:rFonts w:eastAsia="Calibri" w:cs="Calibri"/>
                <w:sz w:val="20"/>
                <w:szCs w:val="20"/>
              </w:rPr>
              <w:t>Jak wskazano w uzasadnieniu projektu - wdrożenie Narzędzia Analizy Zdrowia Pacjenta (e-Profil Pacjenta) ma umożliwić lekarzowi podstawowej opieki zdrowotnej bardziej kompleksową i skoordynowaną opiekę, w oparciu o dane agregowane w SIM oraz analizy generowane w Systemie P1. Karta informacyjna z leczenia szpitalnego stanowi kluczowe źródło informacji o przebiegu hospitalizacji, zastosowanym leczeniu oraz zaleceniach terapeutycznych, a zatem powinna stanowić integralny element zbioru danych wykorzystywanych w ramach tego rozwiązania. Włączenie karty informacyjnej z leczenia szpitalnego do katalogu EDM pozwoliłoby na jednoznaczne traktowanie tego dokumentu jako zdarzenia systemowego w SIM oraz stworzyłoby podstawę do wdrożenia projektowanego mechanizmu systemowego powiadamiania świadczeniodawcy podstawowej opieki zdrowotnej o wytworzeniu dokumentu dotyczącego pacjenta zadeklarowanego w danym POZ. Rozwiązanie to umożliwi wzmocnienie ciągłości opieki oraz koordynację leczenia po zakończeniu hospitalizacji.</w:t>
            </w:r>
          </w:p>
        </w:tc>
        <w:tc>
          <w:tcPr>
            <w:tcW w:w="2855" w:type="dxa"/>
            <w:shd w:val="clear" w:color="auto" w:fill="FFFFFF" w:themeFill="background1"/>
          </w:tcPr>
          <w:p w14:paraId="58CEAAB9" w14:textId="54BB4592" w:rsidR="4816E5C8" w:rsidRPr="001941B0" w:rsidRDefault="4816E5C8" w:rsidP="1B5FDD98">
            <w:pPr>
              <w:spacing w:after="0" w:line="240" w:lineRule="auto"/>
            </w:pPr>
            <w:r w:rsidRPr="001941B0">
              <w:rPr>
                <w:b/>
                <w:bCs/>
                <w:sz w:val="20"/>
                <w:szCs w:val="20"/>
              </w:rPr>
              <w:t xml:space="preserve">Uwaga uwzględniona </w:t>
            </w:r>
          </w:p>
          <w:p w14:paraId="5E33CA71" w14:textId="74ABC869" w:rsidR="00306E53" w:rsidRPr="001941B0" w:rsidRDefault="00306E53" w:rsidP="0044265C">
            <w:pPr>
              <w:spacing w:after="0" w:line="240" w:lineRule="auto"/>
              <w:rPr>
                <w:sz w:val="20"/>
                <w:szCs w:val="20"/>
              </w:rPr>
            </w:pPr>
          </w:p>
        </w:tc>
      </w:tr>
      <w:tr w:rsidR="00FC7212" w:rsidRPr="001941B0" w14:paraId="4578ECF2" w14:textId="77777777" w:rsidTr="7139DBB9">
        <w:tc>
          <w:tcPr>
            <w:tcW w:w="1125" w:type="dxa"/>
            <w:shd w:val="clear" w:color="auto" w:fill="FFFFFF" w:themeFill="background1"/>
          </w:tcPr>
          <w:p w14:paraId="4D4AB2A8"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5B4C6D3" w14:textId="03FC34BF"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NFZ</w:t>
            </w:r>
          </w:p>
        </w:tc>
        <w:tc>
          <w:tcPr>
            <w:tcW w:w="1949" w:type="dxa"/>
            <w:shd w:val="clear" w:color="auto" w:fill="FFFFFF" w:themeFill="background1"/>
          </w:tcPr>
          <w:p w14:paraId="161652C6" w14:textId="3C909C7E"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art. 5 pkt 9</w:t>
            </w:r>
          </w:p>
          <w:p w14:paraId="433C66CB" w14:textId="074DD662" w:rsidR="00306E53" w:rsidRPr="001941B0" w:rsidRDefault="00306E53" w:rsidP="006E0CB2">
            <w:pPr>
              <w:autoSpaceDE w:val="0"/>
              <w:autoSpaceDN w:val="0"/>
              <w:adjustRightInd w:val="0"/>
              <w:spacing w:after="0" w:line="240" w:lineRule="auto"/>
              <w:rPr>
                <w:rFonts w:eastAsia="Aptos" w:cs="Aptos"/>
                <w:b/>
                <w:sz w:val="20"/>
                <w:szCs w:val="20"/>
              </w:rPr>
            </w:pPr>
          </w:p>
        </w:tc>
        <w:tc>
          <w:tcPr>
            <w:tcW w:w="5652" w:type="dxa"/>
            <w:shd w:val="clear" w:color="auto" w:fill="FFFFFF" w:themeFill="background1"/>
          </w:tcPr>
          <w:p w14:paraId="7F4040ED" w14:textId="286E5EC8"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eastAsia="Calibri" w:cs="Calibri"/>
                <w:sz w:val="20"/>
                <w:szCs w:val="20"/>
              </w:rPr>
              <w:t xml:space="preserve">W dodawanym </w:t>
            </w:r>
            <w:r w:rsidRPr="001941B0">
              <w:rPr>
                <w:rFonts w:eastAsia="Calibri" w:cs="Calibri"/>
                <w:b/>
                <w:sz w:val="20"/>
                <w:szCs w:val="20"/>
              </w:rPr>
              <w:t>art. 11c ust. 7 ustawy o s.i.o.z.</w:t>
            </w:r>
            <w:r w:rsidRPr="001941B0">
              <w:rPr>
                <w:rFonts w:eastAsia="Calibri" w:cs="Calibri"/>
                <w:sz w:val="20"/>
                <w:szCs w:val="20"/>
              </w:rPr>
              <w:t xml:space="preserve"> (art. 5 pkt 9 projektu) przewidziano możliwość udostępniania danych gromadzonych w systemie Domowej Opieki Medycznej </w:t>
            </w:r>
            <w:r w:rsidRPr="001941B0">
              <w:rPr>
                <w:rFonts w:eastAsia="Calibri" w:cs="Calibri"/>
                <w:sz w:val="20"/>
                <w:szCs w:val="20"/>
              </w:rPr>
              <w:lastRenderedPageBreak/>
              <w:t>wymienionym w przepisie podmiotom w celu monitorowania polityki zdrowotnej państwa oraz podnoszenia jakości i dostępności świadczeń. Powyższe nie uwzględnia możliwości uzyskania danych w celu realizacji zadań płatnika publicznego. Zasadne jest więc uzupełnienia art. 11c ust. 7m tak aby z jego brzmienia jednoznacznie wynikała możliwość pozyskania danych przez NFZ w celu realizacji związanych z finansowaniem, rozliczaniem i kontrolą świadczeń opieki zdrowotnej finansowanych ze środków publicznych.</w:t>
            </w:r>
          </w:p>
        </w:tc>
        <w:tc>
          <w:tcPr>
            <w:tcW w:w="2855" w:type="dxa"/>
            <w:shd w:val="clear" w:color="auto" w:fill="FFFFFF" w:themeFill="background1"/>
          </w:tcPr>
          <w:p w14:paraId="35B2306A" w14:textId="64BB1BD2" w:rsidR="00306E53" w:rsidRPr="001941B0" w:rsidRDefault="00613B5E"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 xml:space="preserve">Uwaga </w:t>
            </w:r>
            <w:r w:rsidR="00142713" w:rsidRPr="001941B0">
              <w:rPr>
                <w:rFonts w:cstheme="minorHAnsi"/>
                <w:b/>
                <w:sz w:val="20"/>
                <w:szCs w:val="20"/>
              </w:rPr>
              <w:t>nie</w:t>
            </w:r>
            <w:r w:rsidRPr="001941B0">
              <w:rPr>
                <w:rFonts w:cstheme="minorHAnsi"/>
                <w:b/>
                <w:sz w:val="20"/>
                <w:szCs w:val="20"/>
              </w:rPr>
              <w:t>uwzględniona</w:t>
            </w:r>
          </w:p>
          <w:p w14:paraId="5F07B35D" w14:textId="5A686534" w:rsidR="00004A03" w:rsidRPr="001941B0" w:rsidRDefault="001D39E8" w:rsidP="006E0CB2">
            <w:pPr>
              <w:autoSpaceDE w:val="0"/>
              <w:autoSpaceDN w:val="0"/>
              <w:adjustRightInd w:val="0"/>
              <w:spacing w:after="0" w:line="240" w:lineRule="auto"/>
              <w:rPr>
                <w:sz w:val="20"/>
                <w:szCs w:val="20"/>
              </w:rPr>
            </w:pPr>
            <w:r w:rsidRPr="001941B0">
              <w:rPr>
                <w:sz w:val="20"/>
                <w:szCs w:val="20"/>
              </w:rPr>
              <w:t xml:space="preserve">System DOM nie jest </w:t>
            </w:r>
            <w:r w:rsidR="45ADFC9F" w:rsidRPr="001941B0">
              <w:rPr>
                <w:sz w:val="20"/>
                <w:szCs w:val="20"/>
              </w:rPr>
              <w:t xml:space="preserve">wprowadzany </w:t>
            </w:r>
            <w:r w:rsidRPr="001941B0">
              <w:rPr>
                <w:sz w:val="20"/>
                <w:szCs w:val="20"/>
              </w:rPr>
              <w:t xml:space="preserve"> w celu </w:t>
            </w:r>
            <w:r w:rsidRPr="001941B0">
              <w:rPr>
                <w:sz w:val="20"/>
                <w:szCs w:val="20"/>
              </w:rPr>
              <w:lastRenderedPageBreak/>
              <w:t xml:space="preserve">rozliczania </w:t>
            </w:r>
            <w:r w:rsidR="00922E84" w:rsidRPr="001941B0">
              <w:rPr>
                <w:sz w:val="20"/>
                <w:szCs w:val="20"/>
              </w:rPr>
              <w:t xml:space="preserve">realizacji </w:t>
            </w:r>
            <w:r w:rsidRPr="001941B0">
              <w:rPr>
                <w:sz w:val="20"/>
                <w:szCs w:val="20"/>
              </w:rPr>
              <w:t>zadań płatnika publicznego.</w:t>
            </w:r>
          </w:p>
        </w:tc>
      </w:tr>
      <w:tr w:rsidR="00FC7212" w:rsidRPr="001941B0" w14:paraId="62CB6C67" w14:textId="77777777" w:rsidTr="7139DBB9">
        <w:tc>
          <w:tcPr>
            <w:tcW w:w="1125" w:type="dxa"/>
            <w:shd w:val="clear" w:color="auto" w:fill="FFFFFF" w:themeFill="background1"/>
          </w:tcPr>
          <w:p w14:paraId="3DE52241"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A5FFF77" w14:textId="7B6EA6FB"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NFZ</w:t>
            </w:r>
          </w:p>
        </w:tc>
        <w:tc>
          <w:tcPr>
            <w:tcW w:w="1949" w:type="dxa"/>
            <w:shd w:val="clear" w:color="auto" w:fill="FFFFFF" w:themeFill="background1"/>
          </w:tcPr>
          <w:p w14:paraId="6FD848A0" w14:textId="2A3872BE"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eastAsia="Calibri" w:cs="Calibri"/>
                <w:sz w:val="20"/>
                <w:szCs w:val="20"/>
              </w:rPr>
              <w:t xml:space="preserve">art. 5 pkt 9 </w:t>
            </w:r>
          </w:p>
        </w:tc>
        <w:tc>
          <w:tcPr>
            <w:tcW w:w="5652" w:type="dxa"/>
            <w:shd w:val="clear" w:color="auto" w:fill="FFFFFF" w:themeFill="background1"/>
          </w:tcPr>
          <w:p w14:paraId="57671E81" w14:textId="7A6D4B19" w:rsidR="00306E53" w:rsidRPr="001941B0" w:rsidRDefault="00306E53" w:rsidP="006E0CB2">
            <w:pPr>
              <w:pStyle w:val="Akapitzlist"/>
              <w:autoSpaceDE w:val="0"/>
              <w:autoSpaceDN w:val="0"/>
              <w:adjustRightInd w:val="0"/>
              <w:spacing w:after="0" w:line="240" w:lineRule="auto"/>
              <w:ind w:left="0"/>
              <w:jc w:val="both"/>
              <w:rPr>
                <w:rFonts w:eastAsia="Calibri" w:cs="Calibri"/>
                <w:sz w:val="20"/>
                <w:szCs w:val="20"/>
              </w:rPr>
            </w:pPr>
            <w:r w:rsidRPr="001941B0">
              <w:rPr>
                <w:rFonts w:eastAsia="Calibri" w:cs="Calibri"/>
                <w:sz w:val="20"/>
                <w:szCs w:val="20"/>
              </w:rPr>
              <w:t xml:space="preserve">Projektowany </w:t>
            </w:r>
            <w:r w:rsidRPr="001941B0">
              <w:rPr>
                <w:rFonts w:eastAsia="Calibri" w:cs="Calibri"/>
                <w:b/>
                <w:sz w:val="20"/>
                <w:szCs w:val="20"/>
              </w:rPr>
              <w:t>art. 11d ustawy o s.i.o.z.</w:t>
            </w:r>
            <w:r w:rsidRPr="001941B0">
              <w:rPr>
                <w:rFonts w:eastAsia="Calibri" w:cs="Calibri"/>
                <w:sz w:val="20"/>
                <w:szCs w:val="20"/>
              </w:rPr>
              <w:t xml:space="preserve"> (art. 5 pkt 9 projektu) przewiduje utworzenie Systemu e-Konsylium, jako narzędzia wspierającego współpracę specjalistów. Mając na uwadze cel regulacji - wzmacnianie koordynacji i jakości opieki, zasadne jest doprecyzowanie relacji tego systemu do systemu finansowania świadczeń, w tym do świadczeń wymagających kwalifikacji zespołowej. Projekt nie przewiduje również podstawy prawnej umożliwiającej określenie katalogu świadczeń, dla których dokumentowanie z wykorzystaniem Systemu e-Konsylium byłoby obligatoryjne (co mogłoby wzmocnić jego faktyczne znaczenie w systemie opieki zdrowotnej).</w:t>
            </w:r>
          </w:p>
        </w:tc>
        <w:tc>
          <w:tcPr>
            <w:tcW w:w="2855" w:type="dxa"/>
            <w:shd w:val="clear" w:color="auto" w:fill="FFFFFF" w:themeFill="background1"/>
          </w:tcPr>
          <w:p w14:paraId="084CF856" w14:textId="7C96F46F" w:rsidR="006E2828" w:rsidRPr="001941B0" w:rsidRDefault="001318C2" w:rsidP="006E0CB2">
            <w:pPr>
              <w:autoSpaceDE w:val="0"/>
              <w:autoSpaceDN w:val="0"/>
              <w:adjustRightInd w:val="0"/>
              <w:spacing w:after="0" w:line="240" w:lineRule="auto"/>
              <w:rPr>
                <w:rFonts w:cstheme="minorHAnsi"/>
                <w:b/>
                <w:sz w:val="20"/>
                <w:szCs w:val="20"/>
              </w:rPr>
            </w:pPr>
            <w:r w:rsidRPr="001941B0">
              <w:rPr>
                <w:rFonts w:cstheme="minorHAnsi"/>
                <w:b/>
                <w:sz w:val="20"/>
                <w:szCs w:val="20"/>
              </w:rPr>
              <w:t>Uwaga nieuwzględniona</w:t>
            </w:r>
          </w:p>
          <w:p w14:paraId="2A0A28C9" w14:textId="45FC9ABF" w:rsidR="00306E53" w:rsidRPr="001941B0" w:rsidRDefault="00CA18DD" w:rsidP="006E0CB2">
            <w:pPr>
              <w:autoSpaceDE w:val="0"/>
              <w:autoSpaceDN w:val="0"/>
              <w:adjustRightInd w:val="0"/>
              <w:spacing w:after="0" w:line="240" w:lineRule="auto"/>
              <w:rPr>
                <w:rFonts w:cstheme="minorHAnsi"/>
                <w:sz w:val="20"/>
                <w:szCs w:val="20"/>
              </w:rPr>
            </w:pPr>
            <w:r w:rsidRPr="001941B0">
              <w:rPr>
                <w:rFonts w:cstheme="minorHAnsi"/>
                <w:sz w:val="20"/>
                <w:szCs w:val="20"/>
              </w:rPr>
              <w:t>P</w:t>
            </w:r>
            <w:r w:rsidR="00464912" w:rsidRPr="001941B0">
              <w:rPr>
                <w:rFonts w:cstheme="minorHAnsi"/>
                <w:sz w:val="20"/>
                <w:szCs w:val="20"/>
              </w:rPr>
              <w:t xml:space="preserve">oza zakresem </w:t>
            </w:r>
            <w:r w:rsidR="009C6E28" w:rsidRPr="001941B0">
              <w:rPr>
                <w:rFonts w:cstheme="minorHAnsi"/>
                <w:sz w:val="20"/>
                <w:szCs w:val="20"/>
              </w:rPr>
              <w:t>projektowanej regulacji.</w:t>
            </w:r>
          </w:p>
        </w:tc>
      </w:tr>
      <w:tr w:rsidR="00FC7212" w:rsidRPr="001941B0" w14:paraId="19D6DD75" w14:textId="77777777" w:rsidTr="7139DBB9">
        <w:tc>
          <w:tcPr>
            <w:tcW w:w="1125" w:type="dxa"/>
            <w:shd w:val="clear" w:color="auto" w:fill="FFFFFF" w:themeFill="background1"/>
          </w:tcPr>
          <w:p w14:paraId="310A8CE7"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CCC3974" w14:textId="1C14C179"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NFZ</w:t>
            </w:r>
          </w:p>
        </w:tc>
        <w:tc>
          <w:tcPr>
            <w:tcW w:w="1949" w:type="dxa"/>
            <w:shd w:val="clear" w:color="auto" w:fill="FFFFFF" w:themeFill="background1"/>
          </w:tcPr>
          <w:p w14:paraId="41C5188B" w14:textId="52969FF0"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eastAsia="Calibri" w:cs="Calibri"/>
                <w:sz w:val="20"/>
                <w:szCs w:val="20"/>
              </w:rPr>
              <w:t xml:space="preserve">art. 5 pkt 13 </w:t>
            </w:r>
          </w:p>
        </w:tc>
        <w:tc>
          <w:tcPr>
            <w:tcW w:w="5652" w:type="dxa"/>
            <w:shd w:val="clear" w:color="auto" w:fill="FFFFFF" w:themeFill="background1"/>
          </w:tcPr>
          <w:p w14:paraId="1E2779B1" w14:textId="0C3FF311" w:rsidR="00306E53" w:rsidRPr="001941B0" w:rsidRDefault="00306E53" w:rsidP="006E0CB2">
            <w:pPr>
              <w:pStyle w:val="Akapitzlist"/>
              <w:autoSpaceDE w:val="0"/>
              <w:autoSpaceDN w:val="0"/>
              <w:adjustRightInd w:val="0"/>
              <w:spacing w:after="0" w:line="240" w:lineRule="auto"/>
              <w:ind w:left="0"/>
              <w:jc w:val="both"/>
              <w:rPr>
                <w:rFonts w:eastAsia="Calibri" w:cs="Calibri"/>
                <w:sz w:val="20"/>
                <w:szCs w:val="20"/>
              </w:rPr>
            </w:pPr>
            <w:r w:rsidRPr="001941B0">
              <w:rPr>
                <w:rFonts w:eastAsia="Calibri" w:cs="Calibri"/>
                <w:sz w:val="20"/>
                <w:szCs w:val="20"/>
              </w:rPr>
              <w:t xml:space="preserve">Nowelizowany </w:t>
            </w:r>
            <w:r w:rsidRPr="001941B0">
              <w:rPr>
                <w:rFonts w:eastAsia="Calibri" w:cs="Calibri"/>
                <w:b/>
                <w:sz w:val="20"/>
                <w:szCs w:val="20"/>
              </w:rPr>
              <w:t>art. 27 ustawy o s.i.o.z.</w:t>
            </w:r>
            <w:r w:rsidRPr="001941B0">
              <w:rPr>
                <w:rFonts w:eastAsia="Calibri" w:cs="Calibri"/>
                <w:sz w:val="20"/>
                <w:szCs w:val="20"/>
              </w:rPr>
              <w:t xml:space="preserve"> (art. 5 pkt 13 projektu) przenosi System Monitorowania Dostępności do Świadczeń Opieki Zdrowotnej do Narodowego Funduszu Zdrowia. W uzasadnieniu wskazano, że system ten „odpowiada charakterystyce systemów teleinformatycznych NFZ, w których są przetwarzane dane dotyczące dostępności do świadczeń opieki zdrowotnej”. Projektowana zmiana nie uwzględnia jednak wdrażania Centralnej e-rejestracji (CeR).</w:t>
            </w:r>
          </w:p>
          <w:p w14:paraId="534BA7A8" w14:textId="20C4756A" w:rsidR="00306E53" w:rsidRPr="001941B0" w:rsidRDefault="00306E53" w:rsidP="006E0CB2">
            <w:pPr>
              <w:pStyle w:val="Akapitzlist"/>
              <w:autoSpaceDE w:val="0"/>
              <w:autoSpaceDN w:val="0"/>
              <w:adjustRightInd w:val="0"/>
              <w:spacing w:after="0" w:line="240" w:lineRule="auto"/>
              <w:ind w:left="426" w:hanging="360"/>
              <w:jc w:val="both"/>
              <w:rPr>
                <w:rFonts w:eastAsia="Calibri" w:cs="Calibri"/>
                <w:sz w:val="20"/>
                <w:szCs w:val="20"/>
              </w:rPr>
            </w:pPr>
          </w:p>
          <w:p w14:paraId="4A49554B" w14:textId="7C54EC1B" w:rsidR="00306E53" w:rsidRPr="001941B0" w:rsidRDefault="00306E53" w:rsidP="006E0CB2">
            <w:pPr>
              <w:pStyle w:val="Akapitzlist"/>
              <w:autoSpaceDE w:val="0"/>
              <w:autoSpaceDN w:val="0"/>
              <w:adjustRightInd w:val="0"/>
              <w:spacing w:after="0" w:line="240" w:lineRule="auto"/>
              <w:ind w:left="0"/>
              <w:jc w:val="both"/>
              <w:rPr>
                <w:sz w:val="20"/>
                <w:szCs w:val="20"/>
              </w:rPr>
            </w:pPr>
            <w:r w:rsidRPr="001941B0">
              <w:rPr>
                <w:rFonts w:eastAsia="Calibri" w:cs="Calibri"/>
                <w:sz w:val="20"/>
                <w:szCs w:val="20"/>
              </w:rPr>
              <w:t xml:space="preserve">Pozostawienie obecnego brzmienia art. 27 ustawy o s.i.o.z., zgodnie z którym administratorem danych jest minister właściwy ds. zdrowia a administratorem systemu jednostka podległa Ministrowi Zdrowia (Centrum e-Zdrowia), zapewni spójność informacyjną dla pacjenta oraz sprzyja optymalizacji </w:t>
            </w:r>
            <w:r w:rsidRPr="001941B0">
              <w:rPr>
                <w:rFonts w:eastAsia="Calibri" w:cs="Calibri"/>
                <w:sz w:val="20"/>
                <w:szCs w:val="20"/>
              </w:rPr>
              <w:lastRenderedPageBreak/>
              <w:t>technicznej systemów e-zdrowia, w szczególności z uwagi na wdrażanie Centralnej e-rejestracji (CeR).</w:t>
            </w:r>
          </w:p>
          <w:p w14:paraId="5E77DDE7" w14:textId="059B556A" w:rsidR="00306E53" w:rsidRPr="001941B0" w:rsidRDefault="00306E53" w:rsidP="006E0CB2">
            <w:pPr>
              <w:pStyle w:val="Akapitzlist"/>
              <w:autoSpaceDE w:val="0"/>
              <w:autoSpaceDN w:val="0"/>
              <w:adjustRightInd w:val="0"/>
              <w:spacing w:after="0" w:line="240" w:lineRule="auto"/>
              <w:ind w:left="0"/>
              <w:jc w:val="both"/>
              <w:rPr>
                <w:sz w:val="20"/>
                <w:szCs w:val="20"/>
              </w:rPr>
            </w:pPr>
            <w:r w:rsidRPr="001941B0">
              <w:rPr>
                <w:rFonts w:eastAsia="Calibri" w:cs="Calibri"/>
                <w:sz w:val="20"/>
                <w:szCs w:val="20"/>
              </w:rPr>
              <w:t xml:space="preserve">Przyjęcie proponowanego rozwiązania prowadzi do dualizmu informacyjnego dla pacjentów. Pacjent poszukujący informacji o dostępności świadczeń będzie zmuszony do korzystania z dwóch różnych źródeł: serwisu </w:t>
            </w:r>
            <w:hyperlink r:id="rId19">
              <w:r w:rsidRPr="001941B0">
                <w:rPr>
                  <w:rStyle w:val="Hipercze"/>
                  <w:rFonts w:eastAsia="Calibri" w:cs="Calibri"/>
                  <w:color w:val="0000FF"/>
                  <w:sz w:val="20"/>
                  <w:szCs w:val="20"/>
                </w:rPr>
                <w:t>pacjent.gov.pl</w:t>
              </w:r>
            </w:hyperlink>
            <w:r w:rsidRPr="001941B0">
              <w:rPr>
                <w:rFonts w:eastAsia="Calibri" w:cs="Calibri"/>
                <w:sz w:val="20"/>
                <w:szCs w:val="20"/>
              </w:rPr>
              <w:t xml:space="preserve"> (dla świadczeń objętych CeR) oraz strony NFZ (dla pozostałych świadczeń). Pozostawienie obecnych ról administratora pozwoli na stworzenie jednego, wspólnego punktu dostępu do danych o dostępności do świadczeń.</w:t>
            </w:r>
          </w:p>
          <w:p w14:paraId="26DF74ED" w14:textId="68F4AC8E" w:rsidR="00306E53" w:rsidRPr="001941B0" w:rsidRDefault="00306E53" w:rsidP="006E0CB2">
            <w:pPr>
              <w:pStyle w:val="Akapitzlist"/>
              <w:autoSpaceDE w:val="0"/>
              <w:autoSpaceDN w:val="0"/>
              <w:adjustRightInd w:val="0"/>
              <w:spacing w:after="0" w:line="240" w:lineRule="auto"/>
              <w:ind w:left="0"/>
              <w:jc w:val="both"/>
              <w:rPr>
                <w:sz w:val="20"/>
                <w:szCs w:val="20"/>
              </w:rPr>
            </w:pPr>
            <w:r w:rsidRPr="001941B0">
              <w:rPr>
                <w:rFonts w:eastAsia="Calibri" w:cs="Calibri"/>
                <w:sz w:val="20"/>
                <w:szCs w:val="20"/>
              </w:rPr>
              <w:t xml:space="preserve">System Monitorowania Dostępności do Świadczeń (SMDS) jest już obecnie technicznie utrzymywany przez jednostkę właściwą w zakresie systemów informacyjnych, choć bazuje na danych NFZ. Jednocześnie System P1, w ramach którego funkcjonuje Centralna </w:t>
            </w:r>
            <w:r w:rsidRPr="001941B0">
              <w:rPr>
                <w:sz w:val="20"/>
                <w:szCs w:val="20"/>
              </w:rPr>
              <w:br/>
            </w:r>
            <w:r w:rsidRPr="001941B0">
              <w:rPr>
                <w:rFonts w:eastAsia="Calibri" w:cs="Calibri"/>
                <w:sz w:val="20"/>
                <w:szCs w:val="20"/>
              </w:rPr>
              <w:t>e-rejestracja, również znajduje się w gestii tej jednostki. Utrzymanie roli administratora pozwoli na:</w:t>
            </w:r>
          </w:p>
          <w:p w14:paraId="7DD92798" w14:textId="529FB1E9" w:rsidR="00306E53" w:rsidRPr="001941B0" w:rsidRDefault="00306E53" w:rsidP="006E0CB2">
            <w:pPr>
              <w:pStyle w:val="Akapitzlist"/>
              <w:numPr>
                <w:ilvl w:val="0"/>
                <w:numId w:val="13"/>
              </w:numPr>
              <w:autoSpaceDE w:val="0"/>
              <w:autoSpaceDN w:val="0"/>
              <w:adjustRightInd w:val="0"/>
              <w:spacing w:after="0" w:line="240" w:lineRule="auto"/>
              <w:ind w:left="852" w:hanging="284"/>
              <w:jc w:val="both"/>
              <w:rPr>
                <w:rFonts w:eastAsia="Calibri" w:cs="Calibri"/>
                <w:sz w:val="20"/>
                <w:szCs w:val="20"/>
              </w:rPr>
            </w:pPr>
            <w:r w:rsidRPr="001941B0">
              <w:rPr>
                <w:rFonts w:eastAsia="Calibri" w:cs="Calibri"/>
                <w:sz w:val="20"/>
                <w:szCs w:val="20"/>
              </w:rPr>
              <w:t>integrację danych z obu systemów (CeR i SMDS – dane Funduszu) w ramach jednej infrastruktury,</w:t>
            </w:r>
          </w:p>
          <w:p w14:paraId="5F209110" w14:textId="1C59ECE0" w:rsidR="00306E53" w:rsidRPr="001941B0" w:rsidRDefault="00306E53" w:rsidP="006E0CB2">
            <w:pPr>
              <w:pStyle w:val="Akapitzlist"/>
              <w:numPr>
                <w:ilvl w:val="0"/>
                <w:numId w:val="13"/>
              </w:numPr>
              <w:autoSpaceDE w:val="0"/>
              <w:autoSpaceDN w:val="0"/>
              <w:adjustRightInd w:val="0"/>
              <w:spacing w:after="0" w:line="240" w:lineRule="auto"/>
              <w:ind w:left="852" w:hanging="284"/>
              <w:jc w:val="both"/>
              <w:rPr>
                <w:rFonts w:eastAsia="Calibri" w:cs="Calibri"/>
                <w:sz w:val="20"/>
                <w:szCs w:val="20"/>
              </w:rPr>
            </w:pPr>
            <w:r w:rsidRPr="001941B0">
              <w:rPr>
                <w:rFonts w:eastAsia="Calibri" w:cs="Calibri"/>
                <w:sz w:val="20"/>
                <w:szCs w:val="20"/>
              </w:rPr>
              <w:t>budowę docelowego, spójnego modelu publikowania prognozowanych terminów udzielenia świadczeń.</w:t>
            </w:r>
          </w:p>
          <w:p w14:paraId="12BFAACE" w14:textId="203EB844" w:rsidR="00306E53" w:rsidRPr="001941B0" w:rsidRDefault="00306E53" w:rsidP="006E0CB2">
            <w:pPr>
              <w:pStyle w:val="Akapitzlist"/>
              <w:autoSpaceDE w:val="0"/>
              <w:autoSpaceDN w:val="0"/>
              <w:adjustRightInd w:val="0"/>
              <w:spacing w:after="0" w:line="240" w:lineRule="auto"/>
              <w:ind w:left="0"/>
              <w:jc w:val="both"/>
              <w:rPr>
                <w:sz w:val="20"/>
                <w:szCs w:val="20"/>
              </w:rPr>
            </w:pPr>
            <w:r w:rsidRPr="001941B0">
              <w:rPr>
                <w:rFonts w:eastAsia="Calibri" w:cs="Calibri"/>
                <w:sz w:val="20"/>
                <w:szCs w:val="20"/>
              </w:rPr>
              <w:t>W świetle planowanego rozszerzania katalogu świadczeń objętych e-rejestracją, System Monitorowania Dostępności do Świadczeń pod zarządem jednostki właściwej ds. systemów informacyjnych byłby jednym, spójnym systemem, służącym pacjentowi do uzyskania informacji o dostępności do świadczeń.</w:t>
            </w:r>
          </w:p>
          <w:p w14:paraId="111DAB15" w14:textId="3037C8E6" w:rsidR="00306E53" w:rsidRPr="001941B0" w:rsidRDefault="00306E53" w:rsidP="006E0CB2">
            <w:pPr>
              <w:pStyle w:val="Akapitzlist"/>
              <w:autoSpaceDE w:val="0"/>
              <w:autoSpaceDN w:val="0"/>
              <w:adjustRightInd w:val="0"/>
              <w:spacing w:after="0" w:line="240" w:lineRule="auto"/>
              <w:ind w:left="0"/>
              <w:jc w:val="both"/>
              <w:rPr>
                <w:sz w:val="20"/>
                <w:szCs w:val="20"/>
              </w:rPr>
            </w:pPr>
            <w:r w:rsidRPr="001941B0">
              <w:rPr>
                <w:rFonts w:eastAsia="Calibri" w:cs="Calibri"/>
                <w:sz w:val="20"/>
                <w:szCs w:val="20"/>
              </w:rPr>
              <w:t>W kontekście powyższego zasadnym również byłoby znowelizowanie art. 23 ust. 2 ustawy o z dnia 27 sierpnia 2004 r. o świadczeniach opieki zdrowotnej finansowanych ze środków publicznych (Dz. U. z 2025 r. poz. 1461, z późn. zm.), poprzez nadanie przepisowi następującego brzmienia:</w:t>
            </w:r>
          </w:p>
          <w:p w14:paraId="414B5AA6" w14:textId="183770E3" w:rsidR="00306E53" w:rsidRPr="001941B0" w:rsidRDefault="00306E53" w:rsidP="006E0CB2">
            <w:pPr>
              <w:pStyle w:val="Akapitzlist"/>
              <w:autoSpaceDE w:val="0"/>
              <w:autoSpaceDN w:val="0"/>
              <w:adjustRightInd w:val="0"/>
              <w:spacing w:after="0" w:line="240" w:lineRule="auto"/>
              <w:ind w:left="0"/>
              <w:jc w:val="both"/>
              <w:rPr>
                <w:rFonts w:cs="Calibri"/>
                <w:sz w:val="20"/>
                <w:szCs w:val="20"/>
              </w:rPr>
            </w:pPr>
            <w:r w:rsidRPr="001941B0">
              <w:rPr>
                <w:rFonts w:eastAsia="Calibri" w:cs="Calibri"/>
                <w:sz w:val="20"/>
                <w:szCs w:val="20"/>
              </w:rPr>
              <w:t xml:space="preserve">„2. Jednostka właściwa ds. systemów informacyjnych podległa ministrowi właściwemu ds. zdrowia publikuje na swojej stronie internetowej, na podstawie danych przekazanych przez </w:t>
            </w:r>
            <w:r w:rsidRPr="001941B0">
              <w:rPr>
                <w:rFonts w:eastAsia="Calibri" w:cs="Calibri"/>
                <w:sz w:val="20"/>
                <w:szCs w:val="20"/>
              </w:rPr>
              <w:lastRenderedPageBreak/>
              <w:t>Fundusz, aktualizując co najmniej raz w miesiącu, informację o: (…)”.</w:t>
            </w:r>
          </w:p>
        </w:tc>
        <w:tc>
          <w:tcPr>
            <w:tcW w:w="2855" w:type="dxa"/>
            <w:shd w:val="clear" w:color="auto" w:fill="FFFFFF" w:themeFill="background1"/>
          </w:tcPr>
          <w:p w14:paraId="3518C72C" w14:textId="32ACD57C" w:rsidR="00306E53" w:rsidRPr="001941B0" w:rsidRDefault="08DD0FDA" w:rsidP="7D363D04">
            <w:pPr>
              <w:autoSpaceDE w:val="0"/>
              <w:autoSpaceDN w:val="0"/>
              <w:adjustRightInd w:val="0"/>
              <w:spacing w:after="0" w:line="240" w:lineRule="auto"/>
              <w:rPr>
                <w:b/>
                <w:bCs/>
                <w:sz w:val="20"/>
                <w:szCs w:val="20"/>
              </w:rPr>
            </w:pPr>
            <w:r w:rsidRPr="001941B0">
              <w:rPr>
                <w:b/>
                <w:bCs/>
                <w:sz w:val="20"/>
                <w:szCs w:val="20"/>
              </w:rPr>
              <w:lastRenderedPageBreak/>
              <w:t xml:space="preserve">Uwaga </w:t>
            </w:r>
            <w:r w:rsidR="00FC3B52" w:rsidRPr="001941B0">
              <w:rPr>
                <w:b/>
                <w:bCs/>
                <w:sz w:val="20"/>
                <w:szCs w:val="20"/>
              </w:rPr>
              <w:t>nie</w:t>
            </w:r>
            <w:r w:rsidRPr="001941B0">
              <w:rPr>
                <w:b/>
                <w:bCs/>
                <w:sz w:val="20"/>
                <w:szCs w:val="20"/>
              </w:rPr>
              <w:t>uwzględniona</w:t>
            </w:r>
          </w:p>
          <w:p w14:paraId="1DB2BFCD" w14:textId="5C848288" w:rsidR="001B6631" w:rsidRPr="001941B0" w:rsidRDefault="001B6631" w:rsidP="7D363D04">
            <w:pPr>
              <w:autoSpaceDE w:val="0"/>
              <w:autoSpaceDN w:val="0"/>
              <w:adjustRightInd w:val="0"/>
              <w:spacing w:after="0" w:line="240" w:lineRule="auto"/>
              <w:rPr>
                <w:sz w:val="20"/>
                <w:szCs w:val="20"/>
              </w:rPr>
            </w:pPr>
            <w:r w:rsidRPr="001941B0">
              <w:rPr>
                <w:sz w:val="20"/>
                <w:szCs w:val="20"/>
              </w:rPr>
              <w:t xml:space="preserve">Do czasu pełnej funkcjonalności przez Centralną e-Rejestrację </w:t>
            </w:r>
            <w:r w:rsidR="003E22B7" w:rsidRPr="001941B0">
              <w:rPr>
                <w:rFonts w:eastAsia="Calibri" w:cs="Calibri"/>
                <w:sz w:val="20"/>
                <w:szCs w:val="20"/>
              </w:rPr>
              <w:t xml:space="preserve">System Monitorowania Dostępności do Świadczeń Opieki Zdrowotnej </w:t>
            </w:r>
            <w:r w:rsidR="003E22B7" w:rsidRPr="001941B0">
              <w:rPr>
                <w:sz w:val="20"/>
                <w:szCs w:val="20"/>
              </w:rPr>
              <w:t xml:space="preserve">jest </w:t>
            </w:r>
            <w:r w:rsidRPr="001941B0">
              <w:rPr>
                <w:sz w:val="20"/>
                <w:szCs w:val="20"/>
              </w:rPr>
              <w:t>prowadzony przez NFZ.</w:t>
            </w:r>
          </w:p>
          <w:p w14:paraId="741A7A49" w14:textId="3049D9D2" w:rsidR="00306E53" w:rsidRPr="001941B0" w:rsidRDefault="00306E53" w:rsidP="7D363D04">
            <w:pPr>
              <w:autoSpaceDE w:val="0"/>
              <w:autoSpaceDN w:val="0"/>
              <w:adjustRightInd w:val="0"/>
              <w:spacing w:after="0" w:line="240" w:lineRule="auto"/>
              <w:rPr>
                <w:sz w:val="20"/>
                <w:szCs w:val="20"/>
              </w:rPr>
            </w:pPr>
          </w:p>
          <w:p w14:paraId="13247843" w14:textId="6446C625" w:rsidR="00A62825" w:rsidRPr="001941B0" w:rsidRDefault="00A62825" w:rsidP="00433283">
            <w:pPr>
              <w:rPr>
                <w:rFonts w:cstheme="minorHAnsi"/>
                <w:sz w:val="20"/>
                <w:szCs w:val="20"/>
              </w:rPr>
            </w:pPr>
          </w:p>
          <w:p w14:paraId="4EB84BBA" w14:textId="77777777" w:rsidR="00CA4EC2" w:rsidRPr="001941B0" w:rsidRDefault="00CA4EC2" w:rsidP="0099645E">
            <w:pPr>
              <w:rPr>
                <w:rFonts w:cstheme="minorHAnsi"/>
                <w:sz w:val="20"/>
                <w:szCs w:val="20"/>
              </w:rPr>
            </w:pPr>
          </w:p>
          <w:p w14:paraId="02E15718" w14:textId="6958C57A" w:rsidR="00CA4EC2" w:rsidRPr="001941B0" w:rsidRDefault="00CA4EC2" w:rsidP="0099645E">
            <w:pPr>
              <w:rPr>
                <w:rFonts w:cstheme="minorHAnsi"/>
                <w:sz w:val="20"/>
                <w:szCs w:val="20"/>
              </w:rPr>
            </w:pPr>
          </w:p>
        </w:tc>
      </w:tr>
      <w:tr w:rsidR="00FC7212" w:rsidRPr="001941B0" w14:paraId="34FAEE55" w14:textId="77777777" w:rsidTr="7139DBB9">
        <w:tc>
          <w:tcPr>
            <w:tcW w:w="1125" w:type="dxa"/>
            <w:shd w:val="clear" w:color="auto" w:fill="FFFFFF" w:themeFill="background1"/>
          </w:tcPr>
          <w:p w14:paraId="62FA8BA6"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0CC4E59" w14:textId="1AAC99EA"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NFZ</w:t>
            </w:r>
          </w:p>
        </w:tc>
        <w:tc>
          <w:tcPr>
            <w:tcW w:w="1949" w:type="dxa"/>
            <w:shd w:val="clear" w:color="auto" w:fill="FFFFFF" w:themeFill="background1"/>
          </w:tcPr>
          <w:p w14:paraId="0D6FC331" w14:textId="6A7098B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Art 5 </w:t>
            </w:r>
          </w:p>
          <w:p w14:paraId="1718F982" w14:textId="5A6EEFAC" w:rsidR="00AC2C90" w:rsidRPr="001941B0" w:rsidRDefault="00AC2C90" w:rsidP="006E0CB2">
            <w:pPr>
              <w:autoSpaceDE w:val="0"/>
              <w:autoSpaceDN w:val="0"/>
              <w:adjustRightInd w:val="0"/>
              <w:spacing w:after="0" w:line="240" w:lineRule="auto"/>
              <w:rPr>
                <w:rFonts w:cs="Calibri"/>
                <w:b/>
                <w:bCs/>
                <w:sz w:val="20"/>
                <w:szCs w:val="20"/>
              </w:rPr>
            </w:pPr>
          </w:p>
          <w:p w14:paraId="78E68D83" w14:textId="44E9817A"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47B115B9" w14:textId="7F6011C4" w:rsidR="00306E53" w:rsidRPr="001941B0" w:rsidRDefault="00306E53" w:rsidP="006E0CB2">
            <w:pPr>
              <w:pStyle w:val="Akapitzlist"/>
              <w:numPr>
                <w:ilvl w:val="0"/>
                <w:numId w:val="12"/>
              </w:numPr>
              <w:autoSpaceDE w:val="0"/>
              <w:autoSpaceDN w:val="0"/>
              <w:adjustRightInd w:val="0"/>
              <w:spacing w:after="0" w:line="240" w:lineRule="auto"/>
              <w:ind w:left="426"/>
              <w:jc w:val="both"/>
              <w:rPr>
                <w:rFonts w:eastAsia="Calibri" w:cs="Calibri"/>
                <w:sz w:val="20"/>
                <w:szCs w:val="20"/>
              </w:rPr>
            </w:pPr>
            <w:r w:rsidRPr="001941B0">
              <w:rPr>
                <w:rFonts w:eastAsia="Calibri" w:cs="Calibri"/>
                <w:sz w:val="20"/>
                <w:szCs w:val="20"/>
              </w:rPr>
              <w:t xml:space="preserve">Zgodnie z projektowanym </w:t>
            </w:r>
            <w:r w:rsidRPr="001941B0">
              <w:rPr>
                <w:rFonts w:eastAsia="Calibri" w:cs="Calibri"/>
                <w:b/>
                <w:sz w:val="20"/>
                <w:szCs w:val="20"/>
              </w:rPr>
              <w:t>art. 31d. ust. 1 ustawy o s.i.o.z</w:t>
            </w:r>
            <w:r w:rsidRPr="001941B0">
              <w:rPr>
                <w:rFonts w:eastAsia="Calibri" w:cs="Calibri"/>
                <w:sz w:val="20"/>
                <w:szCs w:val="20"/>
              </w:rPr>
              <w:t xml:space="preserve">. </w:t>
            </w:r>
            <w:r w:rsidRPr="001941B0">
              <w:rPr>
                <w:rFonts w:eastAsia="Calibri" w:cs="Calibri"/>
                <w:i/>
                <w:sz w:val="20"/>
                <w:szCs w:val="20"/>
              </w:rPr>
              <w:t>Platforma Usług Inteligentnych jest systemem teleinformatycznym, który umożliwia usługodawcom będącym podmiotami leczniczymi prowadzącymi działalność leczniczą w rodzaju świadczenia szpitalne dostęp do certyfikowanych narzędzi wspomagających dokonywanie diagnostyki medycznej z wykorzystaniem systemów i modeli sztucznej inteligencji, zwanych dalej „narzędziami wspomagającymi”</w:t>
            </w:r>
            <w:r w:rsidRPr="001941B0">
              <w:rPr>
                <w:rFonts w:eastAsia="Calibri" w:cs="Calibri"/>
                <w:sz w:val="20"/>
                <w:szCs w:val="20"/>
              </w:rPr>
              <w:t xml:space="preserve">. Nie jest jasne przyczyna ograniczenia podmiotowego w zakresie dostępu do Platformy, do podmiotów prowadzących działalność leczniczą w rodzaju świadczenia szpitalne. W uzasadnieniu do projektu ustawy wymieniono następujące obszary, które miałyby wspomagać dokonywanie diagnostyki medycznej z wykorzystaniem modeli sztucznej inteligencji: </w:t>
            </w:r>
          </w:p>
          <w:p w14:paraId="54CA87C3" w14:textId="09C2A354" w:rsidR="00306E53" w:rsidRPr="001941B0" w:rsidRDefault="00306E53" w:rsidP="006E0CB2">
            <w:pPr>
              <w:pStyle w:val="Akapitzlist"/>
              <w:numPr>
                <w:ilvl w:val="0"/>
                <w:numId w:val="11"/>
              </w:numPr>
              <w:autoSpaceDE w:val="0"/>
              <w:autoSpaceDN w:val="0"/>
              <w:adjustRightInd w:val="0"/>
              <w:spacing w:after="0" w:line="240" w:lineRule="auto"/>
              <w:ind w:left="1134"/>
              <w:jc w:val="both"/>
              <w:rPr>
                <w:rFonts w:eastAsia="Calibri" w:cs="Calibri"/>
                <w:sz w:val="20"/>
                <w:szCs w:val="20"/>
              </w:rPr>
            </w:pPr>
            <w:r w:rsidRPr="001941B0">
              <w:rPr>
                <w:rFonts w:eastAsia="Calibri" w:cs="Calibri"/>
                <w:sz w:val="20"/>
                <w:szCs w:val="20"/>
              </w:rPr>
              <w:t xml:space="preserve">wykrywanie patologii w Tomografii Komputerowej klatki piersiowej, </w:t>
            </w:r>
          </w:p>
          <w:p w14:paraId="0EDCAD2A" w14:textId="26EE83C1" w:rsidR="00306E53" w:rsidRPr="001941B0" w:rsidRDefault="00306E53" w:rsidP="006E0CB2">
            <w:pPr>
              <w:pStyle w:val="Akapitzlist"/>
              <w:numPr>
                <w:ilvl w:val="0"/>
                <w:numId w:val="11"/>
              </w:numPr>
              <w:autoSpaceDE w:val="0"/>
              <w:autoSpaceDN w:val="0"/>
              <w:adjustRightInd w:val="0"/>
              <w:spacing w:after="0" w:line="240" w:lineRule="auto"/>
              <w:ind w:left="1134"/>
              <w:jc w:val="both"/>
              <w:rPr>
                <w:rFonts w:eastAsia="Calibri" w:cs="Calibri"/>
                <w:sz w:val="20"/>
                <w:szCs w:val="20"/>
              </w:rPr>
            </w:pPr>
            <w:r w:rsidRPr="001941B0">
              <w:rPr>
                <w:rFonts w:eastAsia="Calibri" w:cs="Calibri"/>
                <w:sz w:val="20"/>
                <w:szCs w:val="20"/>
              </w:rPr>
              <w:t xml:space="preserve">wykrywanie zmian niedokrwiennych i krwotocznych w badaniach obrazowych mózgu, </w:t>
            </w:r>
          </w:p>
          <w:p w14:paraId="32425868" w14:textId="76CF8107" w:rsidR="00306E53" w:rsidRPr="001941B0" w:rsidRDefault="00306E53" w:rsidP="006E0CB2">
            <w:pPr>
              <w:pStyle w:val="Akapitzlist"/>
              <w:numPr>
                <w:ilvl w:val="0"/>
                <w:numId w:val="11"/>
              </w:numPr>
              <w:autoSpaceDE w:val="0"/>
              <w:autoSpaceDN w:val="0"/>
              <w:adjustRightInd w:val="0"/>
              <w:spacing w:after="0" w:line="240" w:lineRule="auto"/>
              <w:ind w:left="1134"/>
              <w:jc w:val="both"/>
              <w:rPr>
                <w:rFonts w:eastAsia="Calibri" w:cs="Calibri"/>
                <w:sz w:val="20"/>
                <w:szCs w:val="20"/>
              </w:rPr>
            </w:pPr>
            <w:r w:rsidRPr="001941B0">
              <w:rPr>
                <w:rFonts w:eastAsia="Calibri" w:cs="Calibri"/>
                <w:sz w:val="20"/>
                <w:szCs w:val="20"/>
              </w:rPr>
              <w:t xml:space="preserve">diagnostyki zmian pourazowych układu kostnego w badaniach radiologii klasycznej (RTG), </w:t>
            </w:r>
          </w:p>
          <w:p w14:paraId="4328818E" w14:textId="57C50B46" w:rsidR="00306E53" w:rsidRPr="001941B0" w:rsidRDefault="00306E53" w:rsidP="006E0CB2">
            <w:pPr>
              <w:pStyle w:val="Akapitzlist"/>
              <w:numPr>
                <w:ilvl w:val="0"/>
                <w:numId w:val="11"/>
              </w:numPr>
              <w:autoSpaceDE w:val="0"/>
              <w:autoSpaceDN w:val="0"/>
              <w:adjustRightInd w:val="0"/>
              <w:spacing w:after="0" w:line="240" w:lineRule="auto"/>
              <w:ind w:left="1134"/>
              <w:jc w:val="both"/>
              <w:rPr>
                <w:rFonts w:eastAsia="Calibri" w:cs="Calibri"/>
                <w:sz w:val="20"/>
                <w:szCs w:val="20"/>
              </w:rPr>
            </w:pPr>
            <w:r w:rsidRPr="001941B0">
              <w:rPr>
                <w:rFonts w:eastAsia="Calibri" w:cs="Calibri"/>
                <w:sz w:val="20"/>
                <w:szCs w:val="20"/>
              </w:rPr>
              <w:t xml:space="preserve">wykrywanie zmian nowotworowych piersi (Mammografia), </w:t>
            </w:r>
          </w:p>
          <w:p w14:paraId="5960FDA4" w14:textId="49604651" w:rsidR="00306E53" w:rsidRPr="001941B0" w:rsidRDefault="00306E53" w:rsidP="006E0CB2">
            <w:pPr>
              <w:pStyle w:val="Akapitzlist"/>
              <w:numPr>
                <w:ilvl w:val="0"/>
                <w:numId w:val="11"/>
              </w:numPr>
              <w:autoSpaceDE w:val="0"/>
              <w:autoSpaceDN w:val="0"/>
              <w:adjustRightInd w:val="0"/>
              <w:spacing w:after="0" w:line="240" w:lineRule="auto"/>
              <w:ind w:left="1134"/>
              <w:jc w:val="both"/>
              <w:rPr>
                <w:rFonts w:eastAsia="Calibri" w:cs="Calibri"/>
                <w:sz w:val="20"/>
                <w:szCs w:val="20"/>
              </w:rPr>
            </w:pPr>
            <w:r w:rsidRPr="001941B0">
              <w:rPr>
                <w:rFonts w:eastAsia="Calibri" w:cs="Calibri"/>
                <w:sz w:val="20"/>
                <w:szCs w:val="20"/>
              </w:rPr>
              <w:t>wykrywanie zmian patologicznych w RTG klatki piersiowej.</w:t>
            </w:r>
          </w:p>
          <w:p w14:paraId="7B1718F4" w14:textId="39C09897" w:rsidR="00306E53" w:rsidRPr="001941B0" w:rsidRDefault="00306E53" w:rsidP="006E0CB2">
            <w:pPr>
              <w:autoSpaceDE w:val="0"/>
              <w:autoSpaceDN w:val="0"/>
              <w:adjustRightInd w:val="0"/>
              <w:spacing w:after="0" w:line="240" w:lineRule="auto"/>
              <w:ind w:left="426"/>
              <w:jc w:val="both"/>
              <w:rPr>
                <w:sz w:val="20"/>
                <w:szCs w:val="20"/>
              </w:rPr>
            </w:pPr>
            <w:r w:rsidRPr="001941B0">
              <w:rPr>
                <w:rFonts w:eastAsia="Calibri" w:cs="Calibri"/>
                <w:sz w:val="20"/>
                <w:szCs w:val="20"/>
              </w:rPr>
              <w:t>Wobec powyższego rozważenia wymaga kwestia umożliwienia dokonywania diagnostyki z wykorzystaniem powyższego narzędzia również podmiotom realizującym programy zdrowotne, w tym w ramach Programu profilaktyki raka piersi (mammografia) oraz planowanego Programu profilaktyki raka płuca (NDTK).</w:t>
            </w:r>
          </w:p>
          <w:p w14:paraId="3FCFCAFC" w14:textId="3FCC9DDE" w:rsidR="00306E53" w:rsidRPr="001941B0" w:rsidRDefault="00306E53" w:rsidP="006E0CB2">
            <w:pPr>
              <w:autoSpaceDE w:val="0"/>
              <w:autoSpaceDN w:val="0"/>
              <w:adjustRightInd w:val="0"/>
              <w:spacing w:after="0" w:line="240" w:lineRule="auto"/>
              <w:rPr>
                <w:rFonts w:cs="Calibri"/>
                <w:sz w:val="20"/>
                <w:szCs w:val="20"/>
              </w:rPr>
            </w:pPr>
          </w:p>
        </w:tc>
        <w:tc>
          <w:tcPr>
            <w:tcW w:w="2855" w:type="dxa"/>
            <w:shd w:val="clear" w:color="auto" w:fill="FFFFFF" w:themeFill="background1"/>
          </w:tcPr>
          <w:p w14:paraId="6BAB5C94" w14:textId="77777777" w:rsidR="00306E53" w:rsidRPr="001941B0" w:rsidRDefault="00394106" w:rsidP="006E0CB2">
            <w:pPr>
              <w:autoSpaceDE w:val="0"/>
              <w:autoSpaceDN w:val="0"/>
              <w:adjustRightInd w:val="0"/>
              <w:spacing w:after="0" w:line="240" w:lineRule="auto"/>
              <w:rPr>
                <w:b/>
                <w:sz w:val="20"/>
                <w:szCs w:val="20"/>
              </w:rPr>
            </w:pPr>
            <w:r w:rsidRPr="001941B0">
              <w:rPr>
                <w:b/>
                <w:sz w:val="20"/>
                <w:szCs w:val="20"/>
              </w:rPr>
              <w:t>Uwaga nieuwzględniona</w:t>
            </w:r>
          </w:p>
          <w:p w14:paraId="70D6A599" w14:textId="75F6C54F" w:rsidR="00394106" w:rsidRPr="001941B0" w:rsidRDefault="00394106" w:rsidP="006E0CB2">
            <w:pPr>
              <w:autoSpaceDE w:val="0"/>
              <w:autoSpaceDN w:val="0"/>
              <w:adjustRightInd w:val="0"/>
              <w:spacing w:after="0" w:line="240" w:lineRule="auto"/>
              <w:rPr>
                <w:sz w:val="20"/>
                <w:szCs w:val="20"/>
              </w:rPr>
            </w:pPr>
            <w:r w:rsidRPr="001941B0">
              <w:rPr>
                <w:sz w:val="20"/>
                <w:szCs w:val="20"/>
              </w:rPr>
              <w:t xml:space="preserve">Zakres </w:t>
            </w:r>
            <w:r w:rsidR="00F40542" w:rsidRPr="001941B0">
              <w:rPr>
                <w:sz w:val="20"/>
                <w:szCs w:val="20"/>
              </w:rPr>
              <w:t xml:space="preserve">podmiotowy został określona w </w:t>
            </w:r>
            <w:r w:rsidR="2D84FD8A" w:rsidRPr="001941B0">
              <w:rPr>
                <w:sz w:val="20"/>
                <w:szCs w:val="20"/>
              </w:rPr>
              <w:t xml:space="preserve">projekcie </w:t>
            </w:r>
            <w:r w:rsidR="4D9C2D3F" w:rsidRPr="001941B0">
              <w:rPr>
                <w:sz w:val="20"/>
                <w:szCs w:val="20"/>
              </w:rPr>
              <w:t>ustaw</w:t>
            </w:r>
            <w:r w:rsidR="398900B0" w:rsidRPr="001941B0">
              <w:rPr>
                <w:sz w:val="20"/>
                <w:szCs w:val="20"/>
              </w:rPr>
              <w:t>y</w:t>
            </w:r>
            <w:r w:rsidR="00F40542" w:rsidRPr="001941B0">
              <w:rPr>
                <w:sz w:val="20"/>
                <w:szCs w:val="20"/>
              </w:rPr>
              <w:t xml:space="preserve"> </w:t>
            </w:r>
            <w:r w:rsidR="00532652" w:rsidRPr="001941B0">
              <w:rPr>
                <w:sz w:val="20"/>
                <w:szCs w:val="20"/>
              </w:rPr>
              <w:t>i</w:t>
            </w:r>
            <w:r w:rsidR="00F40542" w:rsidRPr="001941B0">
              <w:rPr>
                <w:sz w:val="20"/>
                <w:szCs w:val="20"/>
              </w:rPr>
              <w:t xml:space="preserve"> są to </w:t>
            </w:r>
            <w:r w:rsidR="55D169AC" w:rsidRPr="001941B0">
              <w:rPr>
                <w:sz w:val="20"/>
                <w:szCs w:val="20"/>
              </w:rPr>
              <w:t xml:space="preserve"> podmioty lecznicze prowadzące działalność leczniczą w rodzaju świadczenia szpitalne</w:t>
            </w:r>
            <w:r w:rsidR="4936408B" w:rsidRPr="001941B0">
              <w:rPr>
                <w:sz w:val="20"/>
                <w:szCs w:val="20"/>
              </w:rPr>
              <w:t>.</w:t>
            </w:r>
            <w:r w:rsidR="00532652" w:rsidRPr="001941B0">
              <w:rPr>
                <w:sz w:val="20"/>
                <w:szCs w:val="20"/>
              </w:rPr>
              <w:t xml:space="preserve"> W przypadku gdy </w:t>
            </w:r>
            <w:r w:rsidR="47711914" w:rsidRPr="001941B0">
              <w:rPr>
                <w:sz w:val="20"/>
                <w:szCs w:val="20"/>
              </w:rPr>
              <w:t xml:space="preserve">taki </w:t>
            </w:r>
            <w:r w:rsidR="00532652" w:rsidRPr="001941B0">
              <w:rPr>
                <w:sz w:val="20"/>
                <w:szCs w:val="20"/>
              </w:rPr>
              <w:t xml:space="preserve">podmiot </w:t>
            </w:r>
            <w:r w:rsidR="1D97BD1C" w:rsidRPr="001941B0">
              <w:rPr>
                <w:sz w:val="20"/>
                <w:szCs w:val="20"/>
              </w:rPr>
              <w:t>realizuje</w:t>
            </w:r>
            <w:r w:rsidR="00532652" w:rsidRPr="001941B0">
              <w:rPr>
                <w:sz w:val="20"/>
                <w:szCs w:val="20"/>
              </w:rPr>
              <w:t xml:space="preserve"> program profilaktyczny </w:t>
            </w:r>
            <w:r w:rsidR="1C88A042" w:rsidRPr="001941B0">
              <w:rPr>
                <w:sz w:val="20"/>
                <w:szCs w:val="20"/>
              </w:rPr>
              <w:t>ma</w:t>
            </w:r>
            <w:r w:rsidR="00532652" w:rsidRPr="001941B0">
              <w:rPr>
                <w:sz w:val="20"/>
                <w:szCs w:val="20"/>
              </w:rPr>
              <w:t xml:space="preserve"> możliwość korzystania z PUI</w:t>
            </w:r>
            <w:r w:rsidR="0631CEC6" w:rsidRPr="001941B0">
              <w:rPr>
                <w:sz w:val="20"/>
                <w:szCs w:val="20"/>
              </w:rPr>
              <w:t>.</w:t>
            </w:r>
          </w:p>
          <w:p w14:paraId="21AAEAB5" w14:textId="4BE70964" w:rsidR="00306E53" w:rsidRPr="001941B0" w:rsidRDefault="00B910B5" w:rsidP="006E0CB2">
            <w:pPr>
              <w:autoSpaceDE w:val="0"/>
              <w:autoSpaceDN w:val="0"/>
              <w:adjustRightInd w:val="0"/>
              <w:spacing w:after="0" w:line="240" w:lineRule="auto"/>
              <w:rPr>
                <w:sz w:val="20"/>
                <w:szCs w:val="20"/>
              </w:rPr>
            </w:pPr>
            <w:r w:rsidRPr="001941B0">
              <w:rPr>
                <w:sz w:val="20"/>
                <w:szCs w:val="20"/>
              </w:rPr>
              <w:t>Projektowane regulacje wynikają z ograniczeń wydajnościowych systemu. Implementowane rozwiązanie jest pionierskie na skalę świata.</w:t>
            </w:r>
            <w:r w:rsidR="458A05C9" w:rsidRPr="001941B0">
              <w:rPr>
                <w:sz w:val="20"/>
                <w:szCs w:val="20"/>
              </w:rPr>
              <w:t xml:space="preserve"> </w:t>
            </w:r>
          </w:p>
        </w:tc>
      </w:tr>
      <w:tr w:rsidR="00FC7212" w:rsidRPr="001941B0" w14:paraId="4B47C86F" w14:textId="77777777" w:rsidTr="7139DBB9">
        <w:tc>
          <w:tcPr>
            <w:tcW w:w="1125" w:type="dxa"/>
            <w:shd w:val="clear" w:color="auto" w:fill="FFFFFF" w:themeFill="background1"/>
          </w:tcPr>
          <w:p w14:paraId="01603EC1"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454297C" w14:textId="60B7BE1F"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NFZ</w:t>
            </w:r>
          </w:p>
        </w:tc>
        <w:tc>
          <w:tcPr>
            <w:tcW w:w="1949" w:type="dxa"/>
            <w:shd w:val="clear" w:color="auto" w:fill="FFFFFF" w:themeFill="background1"/>
          </w:tcPr>
          <w:p w14:paraId="74C3F8A1" w14:textId="2C347DA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Hurtowania Danych e-Zdrowia</w:t>
            </w:r>
          </w:p>
          <w:p w14:paraId="5C2EE915" w14:textId="40B89510" w:rsidR="00F96258" w:rsidRPr="001941B0" w:rsidRDefault="00F96258" w:rsidP="006E0CB2">
            <w:pPr>
              <w:autoSpaceDE w:val="0"/>
              <w:autoSpaceDN w:val="0"/>
              <w:adjustRightInd w:val="0"/>
              <w:spacing w:after="0" w:line="240" w:lineRule="auto"/>
              <w:rPr>
                <w:rFonts w:cs="Calibri"/>
                <w:sz w:val="20"/>
                <w:szCs w:val="20"/>
              </w:rPr>
            </w:pPr>
          </w:p>
          <w:p w14:paraId="0BC85CCF" w14:textId="3191B671"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0054E1D5" w14:textId="2FA3F194" w:rsidR="00306E53" w:rsidRPr="001941B0" w:rsidRDefault="00306E53" w:rsidP="006E0CB2">
            <w:pPr>
              <w:autoSpaceDE w:val="0"/>
              <w:autoSpaceDN w:val="0"/>
              <w:adjustRightInd w:val="0"/>
              <w:spacing w:after="0" w:line="240" w:lineRule="auto"/>
              <w:jc w:val="both"/>
              <w:rPr>
                <w:sz w:val="20"/>
                <w:szCs w:val="20"/>
              </w:rPr>
            </w:pPr>
            <w:r w:rsidRPr="001941B0">
              <w:rPr>
                <w:rFonts w:eastAsia="Calibri" w:cs="Calibri"/>
                <w:sz w:val="20"/>
                <w:szCs w:val="20"/>
              </w:rPr>
              <w:t xml:space="preserve">dodawany w art. 5 pkt 17 projektu </w:t>
            </w:r>
            <w:r w:rsidRPr="001941B0">
              <w:rPr>
                <w:rFonts w:eastAsia="Calibri" w:cs="Calibri"/>
                <w:b/>
                <w:sz w:val="20"/>
                <w:szCs w:val="20"/>
              </w:rPr>
              <w:t xml:space="preserve">art. 31e ustawy o s.i.o.z. </w:t>
            </w:r>
            <w:r w:rsidRPr="001941B0">
              <w:rPr>
                <w:rFonts w:eastAsia="Calibri" w:cs="Calibri"/>
                <w:sz w:val="20"/>
                <w:szCs w:val="20"/>
              </w:rPr>
              <w:t>reguluje dostęp do tworzonej Hurtowni Danych e-Zdrowia. W ust. 9 wskazano, że analizy, o których mowa w ust. 4, są udostępniane w szczególności Agencji Oceny Technologii Medycznych i Taryfikacji, Głównemu Inspektorowi Farmaceutycznemu, Narodowemu Funduszowi Zdrowia, Głównemu Inspektorowi Sanitarnemu, innym podmiotom, upoważnionym na podstawie odrębnych przepisów – w celu realizacji ich zadań.</w:t>
            </w:r>
          </w:p>
          <w:p w14:paraId="209D1937" w14:textId="01AD4A88" w:rsidR="00306E53" w:rsidRPr="001941B0" w:rsidRDefault="00306E53" w:rsidP="006E0CB2">
            <w:pPr>
              <w:autoSpaceDE w:val="0"/>
              <w:autoSpaceDN w:val="0"/>
              <w:adjustRightInd w:val="0"/>
              <w:spacing w:after="0" w:line="240" w:lineRule="auto"/>
              <w:jc w:val="both"/>
              <w:rPr>
                <w:sz w:val="20"/>
                <w:szCs w:val="20"/>
              </w:rPr>
            </w:pPr>
            <w:r w:rsidRPr="001941B0">
              <w:rPr>
                <w:rFonts w:eastAsia="Calibri" w:cs="Calibri"/>
                <w:sz w:val="20"/>
                <w:szCs w:val="20"/>
              </w:rPr>
              <w:t>Takie brzmienie przepisu sugeruje, że analizy są w pewien sposób (nie określony w projektowanych przepisach) zamawiane przez ww. instytucje. Domniemywać można, że wykonawcami analiz, w świetle projektowanych przepisów, będą pracownicy Centrum e-Zdrowie. Sugestia utworzenia centralnej hurtowni danych była przekazywana do Ministerstwa Zdrowia (m.in. w piśmie NFZ-DAMJiOS.073.18.2025 2025.362700.ANTO z 20 sierpnia 2025 r.). Zasadnym wydaje się jednak, aby ww. instytucjom przyznać w projektowanej ustawie nie tylko możliwość otrzymywania wyników analiz, ale samodzielnego ich przeprowadzania w tworzonej Hurtowni Danych e-Zdrowia. W przeciwnym przypadku dostęp do informacji płynących z przetwarzania danych będzie pozorny – analitycy CeZ nie będą w stanie wykonywać niezbędnych analiz na rzecz ww. instytucji, ze względu na liczbę, stopień skomplikowania oraz terminowość analiz.</w:t>
            </w:r>
          </w:p>
        </w:tc>
        <w:tc>
          <w:tcPr>
            <w:tcW w:w="2855" w:type="dxa"/>
            <w:shd w:val="clear" w:color="auto" w:fill="FFFFFF" w:themeFill="background1"/>
          </w:tcPr>
          <w:p w14:paraId="597DA8F3" w14:textId="090E0C11" w:rsidR="00306E53" w:rsidRPr="001941B0" w:rsidRDefault="00F315EB" w:rsidP="006E0CB2">
            <w:pPr>
              <w:autoSpaceDE w:val="0"/>
              <w:autoSpaceDN w:val="0"/>
              <w:adjustRightInd w:val="0"/>
              <w:spacing w:after="0" w:line="240" w:lineRule="auto"/>
              <w:rPr>
                <w:rFonts w:cstheme="minorHAnsi"/>
                <w:b/>
                <w:sz w:val="20"/>
                <w:szCs w:val="20"/>
              </w:rPr>
            </w:pPr>
            <w:r w:rsidRPr="001941B0">
              <w:rPr>
                <w:rFonts w:cstheme="minorHAnsi"/>
                <w:b/>
                <w:sz w:val="20"/>
                <w:szCs w:val="20"/>
              </w:rPr>
              <w:t>Wyjaśnienia</w:t>
            </w:r>
          </w:p>
          <w:p w14:paraId="38FD1491" w14:textId="7C15906A" w:rsidR="00F315EB" w:rsidRPr="001941B0" w:rsidRDefault="3DC9457B" w:rsidP="006E0CB2">
            <w:pPr>
              <w:autoSpaceDE w:val="0"/>
              <w:autoSpaceDN w:val="0"/>
              <w:adjustRightInd w:val="0"/>
              <w:spacing w:after="0" w:line="240" w:lineRule="auto"/>
              <w:rPr>
                <w:sz w:val="20"/>
                <w:szCs w:val="20"/>
              </w:rPr>
            </w:pPr>
            <w:r w:rsidRPr="001941B0">
              <w:rPr>
                <w:sz w:val="20"/>
                <w:szCs w:val="20"/>
              </w:rPr>
              <w:t>Przedmiotowy z</w:t>
            </w:r>
            <w:r w:rsidR="2240B3FA" w:rsidRPr="001941B0">
              <w:rPr>
                <w:sz w:val="20"/>
                <w:szCs w:val="20"/>
              </w:rPr>
              <w:t>akres</w:t>
            </w:r>
            <w:r w:rsidR="1C4BFB64" w:rsidRPr="001941B0">
              <w:rPr>
                <w:sz w:val="20"/>
                <w:szCs w:val="20"/>
              </w:rPr>
              <w:t xml:space="preserve"> propozycji</w:t>
            </w:r>
            <w:r w:rsidR="00F315EB" w:rsidRPr="001941B0">
              <w:rPr>
                <w:sz w:val="20"/>
                <w:szCs w:val="20"/>
              </w:rPr>
              <w:t xml:space="preserve"> zostanie </w:t>
            </w:r>
            <w:r w:rsidR="2082B32E" w:rsidRPr="001941B0">
              <w:rPr>
                <w:sz w:val="20"/>
                <w:szCs w:val="20"/>
              </w:rPr>
              <w:t>włączony do</w:t>
            </w:r>
            <w:r w:rsidR="5D3BEF57" w:rsidRPr="001941B0">
              <w:rPr>
                <w:sz w:val="20"/>
                <w:szCs w:val="20"/>
              </w:rPr>
              <w:t xml:space="preserve"> </w:t>
            </w:r>
            <w:r w:rsidR="00F315EB" w:rsidRPr="001941B0">
              <w:rPr>
                <w:sz w:val="20"/>
                <w:szCs w:val="20"/>
              </w:rPr>
              <w:t xml:space="preserve"> innego projektu</w:t>
            </w:r>
            <w:r w:rsidR="0F4D61E7" w:rsidRPr="001941B0">
              <w:rPr>
                <w:sz w:val="20"/>
                <w:szCs w:val="20"/>
              </w:rPr>
              <w:t xml:space="preserve"> legislacyjnego</w:t>
            </w:r>
            <w:r w:rsidR="00900C20" w:rsidRPr="001941B0">
              <w:rPr>
                <w:sz w:val="20"/>
                <w:szCs w:val="20"/>
              </w:rPr>
              <w:t xml:space="preserve">, który obecnie jest na etapie </w:t>
            </w:r>
            <w:r w:rsidR="00D033E7" w:rsidRPr="001941B0">
              <w:rPr>
                <w:sz w:val="20"/>
                <w:szCs w:val="20"/>
              </w:rPr>
              <w:t>tworzenia założeń</w:t>
            </w:r>
            <w:r w:rsidR="00900C20" w:rsidRPr="001941B0">
              <w:rPr>
                <w:sz w:val="20"/>
                <w:szCs w:val="20"/>
              </w:rPr>
              <w:t xml:space="preserve">. </w:t>
            </w:r>
          </w:p>
          <w:p w14:paraId="6268E791" w14:textId="77777777" w:rsidR="00075894" w:rsidRPr="001941B0" w:rsidRDefault="00075894" w:rsidP="006E0CB2">
            <w:pPr>
              <w:autoSpaceDE w:val="0"/>
              <w:autoSpaceDN w:val="0"/>
              <w:adjustRightInd w:val="0"/>
              <w:spacing w:after="0" w:line="240" w:lineRule="auto"/>
              <w:rPr>
                <w:rFonts w:cstheme="minorHAnsi"/>
                <w:sz w:val="20"/>
                <w:szCs w:val="20"/>
              </w:rPr>
            </w:pPr>
          </w:p>
          <w:p w14:paraId="45DD064E" w14:textId="05F4A75B" w:rsidR="0012462B" w:rsidRPr="001941B0" w:rsidRDefault="0012462B" w:rsidP="006E0CB2">
            <w:pPr>
              <w:autoSpaceDE w:val="0"/>
              <w:autoSpaceDN w:val="0"/>
              <w:adjustRightInd w:val="0"/>
              <w:spacing w:after="0" w:line="240" w:lineRule="auto"/>
              <w:rPr>
                <w:sz w:val="20"/>
                <w:szCs w:val="20"/>
              </w:rPr>
            </w:pPr>
          </w:p>
        </w:tc>
      </w:tr>
      <w:tr w:rsidR="00FC7212" w:rsidRPr="001941B0" w14:paraId="16E54932" w14:textId="77777777" w:rsidTr="7139DBB9">
        <w:tc>
          <w:tcPr>
            <w:tcW w:w="1125" w:type="dxa"/>
            <w:shd w:val="clear" w:color="auto" w:fill="FFFFFF" w:themeFill="background1"/>
          </w:tcPr>
          <w:p w14:paraId="1D3E9A0C"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15B2A37" w14:textId="3978A0B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konsultant krajowy w dziedzinie radiologii i diagnostyki obrazowej</w:t>
            </w:r>
          </w:p>
          <w:p w14:paraId="05A885B2" w14:textId="77777777" w:rsidR="00306E53" w:rsidRPr="001941B0" w:rsidRDefault="00306E53" w:rsidP="006E0CB2">
            <w:pPr>
              <w:autoSpaceDE w:val="0"/>
              <w:autoSpaceDN w:val="0"/>
              <w:adjustRightInd w:val="0"/>
              <w:spacing w:after="0" w:line="240" w:lineRule="auto"/>
              <w:rPr>
                <w:rFonts w:cs="Calibri"/>
                <w:sz w:val="20"/>
                <w:szCs w:val="20"/>
              </w:rPr>
            </w:pPr>
          </w:p>
        </w:tc>
        <w:tc>
          <w:tcPr>
            <w:tcW w:w="1949" w:type="dxa"/>
            <w:shd w:val="clear" w:color="auto" w:fill="FFFFFF" w:themeFill="background1"/>
          </w:tcPr>
          <w:p w14:paraId="50D0DAFC" w14:textId="7455069A" w:rsidR="00F96258"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683E7E95" w14:textId="77777777" w:rsidR="004D28A5" w:rsidRPr="001941B0" w:rsidRDefault="004D28A5" w:rsidP="006E0CB2">
            <w:pPr>
              <w:autoSpaceDE w:val="0"/>
              <w:autoSpaceDN w:val="0"/>
              <w:adjustRightInd w:val="0"/>
              <w:spacing w:after="0" w:line="240" w:lineRule="auto"/>
              <w:rPr>
                <w:rFonts w:cs="Calibri"/>
                <w:sz w:val="20"/>
                <w:szCs w:val="20"/>
              </w:rPr>
            </w:pPr>
          </w:p>
          <w:p w14:paraId="2D1DAE25" w14:textId="5CEF5667"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0E1173DB" w14:textId="77777777" w:rsidR="00233CF7"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sz w:val="20"/>
                <w:szCs w:val="20"/>
              </w:rPr>
              <w:t xml:space="preserve">Ustawa o SIOZ – PUI (Platforma Usług Inteligentnych), art. 31d – </w:t>
            </w:r>
            <w:r w:rsidR="00233CF7" w:rsidRPr="001941B0">
              <w:rPr>
                <w:rFonts w:eastAsia="Calibri" w:cs="Calibri"/>
                <w:sz w:val="20"/>
                <w:szCs w:val="20"/>
              </w:rPr>
              <w:t xml:space="preserve"> </w:t>
            </w:r>
            <w:r w:rsidRPr="001941B0">
              <w:rPr>
                <w:rFonts w:eastAsia="Calibri" w:cs="Calibri"/>
                <w:sz w:val="20"/>
                <w:szCs w:val="20"/>
              </w:rPr>
              <w:t>przechowywanie danych obrazowych i wyników analiz do pobrania</w:t>
            </w:r>
            <w:r w:rsidR="00233CF7" w:rsidRPr="001941B0">
              <w:rPr>
                <w:rFonts w:eastAsia="Calibri" w:cs="Calibri"/>
                <w:sz w:val="20"/>
                <w:szCs w:val="20"/>
              </w:rPr>
              <w:t xml:space="preserve"> </w:t>
            </w:r>
            <w:r w:rsidRPr="001941B0">
              <w:rPr>
                <w:rFonts w:eastAsia="Calibri" w:cs="Calibri"/>
                <w:sz w:val="20"/>
                <w:szCs w:val="20"/>
              </w:rPr>
              <w:t>maks. 6 miesięcy, następnie anonimizacja. Retencja 6 miesięcy może być niewystarczająca dla celów klinicznych (follow-up), audytu jakości, postępowań wyjaśniających i reklamacyjnych.</w:t>
            </w:r>
            <w:r w:rsidR="00233CF7" w:rsidRPr="001941B0">
              <w:rPr>
                <w:rFonts w:eastAsia="Calibri" w:cs="Calibri"/>
                <w:sz w:val="20"/>
                <w:szCs w:val="20"/>
              </w:rPr>
              <w:t xml:space="preserve"> </w:t>
            </w:r>
          </w:p>
          <w:p w14:paraId="081721F9" w14:textId="7C8ACF14"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b/>
                <w:bCs/>
                <w:sz w:val="20"/>
                <w:szCs w:val="20"/>
              </w:rPr>
              <w:t>Propozycja:</w:t>
            </w:r>
            <w:r w:rsidRPr="001941B0">
              <w:rPr>
                <w:rFonts w:eastAsia="Calibri" w:cs="Calibri"/>
                <w:sz w:val="20"/>
                <w:szCs w:val="20"/>
              </w:rPr>
              <w:t xml:space="preserve"> Rozważyć: (a) wydłużenie okresu retencji w PUI albo (b)doprecyzowanie, że po 6 miesiącach możliwe jest pozostawienie metadanych/śladu audytowego (wynik, wersja algorytmu, data), a źródłem archiwizacji obrazów pozostaje PACS/RIS świadczeniodawcy. </w:t>
            </w:r>
          </w:p>
          <w:p w14:paraId="66AE88EC" w14:textId="0AFDBA15"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b/>
                <w:bCs/>
                <w:sz w:val="20"/>
                <w:szCs w:val="20"/>
              </w:rPr>
              <w:lastRenderedPageBreak/>
              <w:t xml:space="preserve">Uzasadnienie: </w:t>
            </w:r>
            <w:r w:rsidRPr="001941B0">
              <w:rPr>
                <w:rFonts w:eastAsia="Calibri" w:cs="Calibri"/>
                <w:sz w:val="20"/>
                <w:szCs w:val="20"/>
              </w:rPr>
              <w:t xml:space="preserve">Dla radiologii i nadzoru jakościowego kluczowe jest </w:t>
            </w:r>
            <w:r w:rsidR="000203D9" w:rsidRPr="001941B0">
              <w:rPr>
                <w:rFonts w:eastAsia="Calibri" w:cs="Calibri"/>
                <w:sz w:val="20"/>
                <w:szCs w:val="20"/>
              </w:rPr>
              <w:t xml:space="preserve"> </w:t>
            </w:r>
            <w:r w:rsidRPr="001941B0">
              <w:rPr>
                <w:rFonts w:eastAsia="Calibri" w:cs="Calibri"/>
                <w:sz w:val="20"/>
                <w:szCs w:val="20"/>
              </w:rPr>
              <w:t xml:space="preserve">Zachowanie możliwości weryfikacji i porównania wyników w </w:t>
            </w:r>
            <w:r w:rsidR="000203D9" w:rsidRPr="001941B0">
              <w:rPr>
                <w:rFonts w:eastAsia="Calibri" w:cs="Calibri"/>
                <w:sz w:val="20"/>
                <w:szCs w:val="20"/>
              </w:rPr>
              <w:t xml:space="preserve"> </w:t>
            </w:r>
            <w:r w:rsidRPr="001941B0">
              <w:rPr>
                <w:rFonts w:eastAsia="Calibri" w:cs="Calibri"/>
                <w:sz w:val="20"/>
                <w:szCs w:val="20"/>
              </w:rPr>
              <w:t>horyzoncie dłuższym niż 6 miesięcy.</w:t>
            </w:r>
          </w:p>
        </w:tc>
        <w:tc>
          <w:tcPr>
            <w:tcW w:w="2855" w:type="dxa"/>
            <w:shd w:val="clear" w:color="auto" w:fill="FFFFFF" w:themeFill="background1"/>
          </w:tcPr>
          <w:p w14:paraId="384B1190" w14:textId="39A114D5" w:rsidR="00306E53" w:rsidRPr="001941B0" w:rsidRDefault="00541915"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50C7AA83" w14:textId="15C4F27A" w:rsidR="00306E53" w:rsidRPr="001941B0" w:rsidRDefault="005A5C4D" w:rsidP="006E0CB2">
            <w:pPr>
              <w:autoSpaceDE w:val="0"/>
              <w:autoSpaceDN w:val="0"/>
              <w:adjustRightInd w:val="0"/>
              <w:spacing w:after="0" w:line="240" w:lineRule="auto"/>
              <w:rPr>
                <w:sz w:val="20"/>
                <w:szCs w:val="20"/>
              </w:rPr>
            </w:pPr>
            <w:r w:rsidRPr="001941B0">
              <w:rPr>
                <w:sz w:val="20"/>
                <w:szCs w:val="20"/>
              </w:rPr>
              <w:t xml:space="preserve">Obecnie jest </w:t>
            </w:r>
            <w:r w:rsidR="00BF2EDA" w:rsidRPr="001941B0">
              <w:rPr>
                <w:sz w:val="20"/>
                <w:szCs w:val="20"/>
              </w:rPr>
              <w:t>to rozwiązane operacyjnie</w:t>
            </w:r>
            <w:r w:rsidR="401834A4" w:rsidRPr="001941B0">
              <w:rPr>
                <w:sz w:val="20"/>
                <w:szCs w:val="20"/>
              </w:rPr>
              <w:t>.</w:t>
            </w:r>
            <w:r w:rsidR="26DEB0D0" w:rsidRPr="001941B0">
              <w:rPr>
                <w:sz w:val="20"/>
                <w:szCs w:val="20"/>
              </w:rPr>
              <w:t xml:space="preserve"> </w:t>
            </w:r>
            <w:r w:rsidR="7F22CE06" w:rsidRPr="001941B0">
              <w:rPr>
                <w:sz w:val="20"/>
                <w:szCs w:val="20"/>
              </w:rPr>
              <w:t>Ś</w:t>
            </w:r>
            <w:r w:rsidR="00541915" w:rsidRPr="001941B0">
              <w:rPr>
                <w:sz w:val="20"/>
                <w:szCs w:val="20"/>
              </w:rPr>
              <w:t xml:space="preserve">lad audytowy pozostaje, </w:t>
            </w:r>
            <w:r w:rsidRPr="001941B0">
              <w:rPr>
                <w:sz w:val="20"/>
                <w:szCs w:val="20"/>
              </w:rPr>
              <w:t xml:space="preserve">a </w:t>
            </w:r>
            <w:r w:rsidR="00541915" w:rsidRPr="001941B0">
              <w:rPr>
                <w:sz w:val="20"/>
                <w:szCs w:val="20"/>
              </w:rPr>
              <w:t xml:space="preserve">za przechowywanie </w:t>
            </w:r>
            <w:r w:rsidR="000406EE" w:rsidRPr="001941B0">
              <w:rPr>
                <w:sz w:val="20"/>
                <w:szCs w:val="20"/>
              </w:rPr>
              <w:t xml:space="preserve">tych danych </w:t>
            </w:r>
            <w:r w:rsidR="00541915" w:rsidRPr="001941B0">
              <w:rPr>
                <w:sz w:val="20"/>
                <w:szCs w:val="20"/>
              </w:rPr>
              <w:t>odpowiada szpital.</w:t>
            </w:r>
          </w:p>
        </w:tc>
      </w:tr>
      <w:tr w:rsidR="00FC7212" w:rsidRPr="001941B0" w14:paraId="35F0D4DD" w14:textId="77777777" w:rsidTr="7139DBB9">
        <w:tc>
          <w:tcPr>
            <w:tcW w:w="1125" w:type="dxa"/>
            <w:shd w:val="clear" w:color="auto" w:fill="FFFFFF" w:themeFill="background1"/>
          </w:tcPr>
          <w:p w14:paraId="27EA2916"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67C691D" w14:textId="6D838638"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konsultant krajowy w dziedzinie radiologii i diagnostyki obrazowej</w:t>
            </w:r>
          </w:p>
          <w:p w14:paraId="5D36FE18" w14:textId="77777777" w:rsidR="00306E53" w:rsidRPr="001941B0" w:rsidRDefault="00306E53" w:rsidP="006E0CB2">
            <w:pPr>
              <w:autoSpaceDE w:val="0"/>
              <w:autoSpaceDN w:val="0"/>
              <w:adjustRightInd w:val="0"/>
              <w:spacing w:after="0" w:line="240" w:lineRule="auto"/>
              <w:rPr>
                <w:rFonts w:cs="Calibri"/>
                <w:sz w:val="20"/>
                <w:szCs w:val="20"/>
              </w:rPr>
            </w:pPr>
          </w:p>
        </w:tc>
        <w:tc>
          <w:tcPr>
            <w:tcW w:w="1949" w:type="dxa"/>
            <w:shd w:val="clear" w:color="auto" w:fill="FFFFFF" w:themeFill="background1"/>
          </w:tcPr>
          <w:p w14:paraId="0CA7C07F" w14:textId="0BD8D9B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21BEB50A" w14:textId="23886184"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06437A2A" w14:textId="77777777"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sz w:val="20"/>
                <w:szCs w:val="20"/>
              </w:rPr>
              <w:t xml:space="preserve">Ustawa o SIOZ – PUI, art. 31d ust. 9 – dalsze przetwarzanie </w:t>
            </w:r>
          </w:p>
          <w:p w14:paraId="39760D68" w14:textId="2C416280"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sz w:val="20"/>
                <w:szCs w:val="20"/>
              </w:rPr>
              <w:t>Zanonimizowanych danych w celu rozwoju usług i prac badawczo-</w:t>
            </w:r>
          </w:p>
          <w:p w14:paraId="4C7D2DBD" w14:textId="3D9C3C69"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sz w:val="20"/>
                <w:szCs w:val="20"/>
              </w:rPr>
              <w:t>edukacyjnych. Brak doprecyzowania governance: dostęp, kryteria, audyt, minimalizacja ryzyka re-identyfikacji dla danych obrazowych.</w:t>
            </w:r>
          </w:p>
          <w:p w14:paraId="1309269A" w14:textId="72AD093A"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b/>
                <w:bCs/>
                <w:sz w:val="20"/>
                <w:szCs w:val="20"/>
              </w:rPr>
              <w:t>Propozycja:</w:t>
            </w:r>
            <w:r w:rsidRPr="001941B0">
              <w:rPr>
                <w:rFonts w:eastAsia="Calibri" w:cs="Calibri"/>
                <w:sz w:val="20"/>
                <w:szCs w:val="20"/>
              </w:rPr>
              <w:t xml:space="preserve"> Uzupełnić o minimalne zasady: kontrola dostępu, rejestr udostępnień, audyty, ocena ryzyka re-identyfikacji oraz standard anonimizacji danych obrazowych (np. DICOM).</w:t>
            </w:r>
          </w:p>
          <w:p w14:paraId="2C33FDB3" w14:textId="6F9E582C"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b/>
                <w:bCs/>
                <w:sz w:val="20"/>
                <w:szCs w:val="20"/>
              </w:rPr>
              <w:t>Uzasadnienie:</w:t>
            </w:r>
            <w:r w:rsidRPr="001941B0">
              <w:rPr>
                <w:rFonts w:eastAsia="Calibri" w:cs="Calibri"/>
                <w:sz w:val="20"/>
                <w:szCs w:val="20"/>
              </w:rPr>
              <w:t xml:space="preserve"> Dane obrazowe są szczególnie wrażliwe (możliwe cechy identyfikujące). Potrzebne jasne reguły, by zapewnić bezpieczeństwo i zaufanie.</w:t>
            </w:r>
          </w:p>
        </w:tc>
        <w:tc>
          <w:tcPr>
            <w:tcW w:w="2855" w:type="dxa"/>
            <w:shd w:val="clear" w:color="auto" w:fill="FFFFFF" w:themeFill="background1"/>
          </w:tcPr>
          <w:p w14:paraId="78E3D851" w14:textId="12F64059" w:rsidR="006D50B7" w:rsidRPr="001941B0" w:rsidRDefault="006D50B7" w:rsidP="006D50B7">
            <w:pPr>
              <w:autoSpaceDE w:val="0"/>
              <w:autoSpaceDN w:val="0"/>
              <w:adjustRightInd w:val="0"/>
              <w:spacing w:after="0" w:line="240" w:lineRule="auto"/>
              <w:rPr>
                <w:rFonts w:eastAsia="Calibri" w:cs="Calibri"/>
                <w:b/>
                <w:sz w:val="20"/>
                <w:szCs w:val="20"/>
              </w:rPr>
            </w:pPr>
            <w:r w:rsidRPr="001941B0">
              <w:rPr>
                <w:rFonts w:eastAsia="Calibri" w:cs="Calibri"/>
                <w:b/>
                <w:sz w:val="20"/>
                <w:szCs w:val="20"/>
              </w:rPr>
              <w:t>Wyjaśnienie</w:t>
            </w:r>
          </w:p>
          <w:p w14:paraId="6198974A" w14:textId="34C3CF1A" w:rsidR="00306E53" w:rsidRPr="001941B0" w:rsidRDefault="00E57DC6" w:rsidP="4E799236">
            <w:pPr>
              <w:spacing w:after="0" w:line="240" w:lineRule="auto"/>
              <w:rPr>
                <w:rFonts w:eastAsia="Calibri" w:cs="Calibri"/>
                <w:sz w:val="20"/>
                <w:szCs w:val="20"/>
              </w:rPr>
            </w:pPr>
            <w:r w:rsidRPr="001941B0">
              <w:rPr>
                <w:rFonts w:eastAsia="Calibri" w:cs="Calibri"/>
                <w:sz w:val="20"/>
                <w:szCs w:val="20"/>
              </w:rPr>
              <w:t xml:space="preserve">Kontrola dostępu, rejestr udostępnień, audyty, ocena ryzyka re-identyfikacji oraz standard </w:t>
            </w:r>
            <w:r w:rsidR="00B34CD6" w:rsidRPr="001941B0">
              <w:rPr>
                <w:rFonts w:eastAsia="Calibri" w:cs="Calibri"/>
                <w:sz w:val="20"/>
                <w:szCs w:val="20"/>
              </w:rPr>
              <w:t>animizacji</w:t>
            </w:r>
            <w:r w:rsidRPr="001941B0">
              <w:rPr>
                <w:rFonts w:eastAsia="Calibri" w:cs="Calibri"/>
                <w:sz w:val="20"/>
                <w:szCs w:val="20"/>
              </w:rPr>
              <w:t xml:space="preserve"> danych obrazowych (np. DICOM) –</w:t>
            </w:r>
            <w:r w:rsidR="009717F6" w:rsidRPr="001941B0">
              <w:rPr>
                <w:rFonts w:eastAsia="Calibri" w:cs="Calibri"/>
                <w:sz w:val="20"/>
                <w:szCs w:val="20"/>
              </w:rPr>
              <w:t xml:space="preserve"> </w:t>
            </w:r>
            <w:r w:rsidR="6753A7A9" w:rsidRPr="001941B0">
              <w:rPr>
                <w:rFonts w:eastAsia="Calibri" w:cs="Calibri"/>
                <w:sz w:val="20"/>
                <w:szCs w:val="20"/>
              </w:rPr>
              <w:t>są</w:t>
            </w:r>
            <w:r w:rsidR="00A57940" w:rsidRPr="001941B0">
              <w:rPr>
                <w:rFonts w:eastAsia="Calibri" w:cs="Calibri"/>
                <w:sz w:val="20"/>
                <w:szCs w:val="20"/>
              </w:rPr>
              <w:t>obecnie zapewnione</w:t>
            </w:r>
            <w:r w:rsidR="00126D78" w:rsidRPr="001941B0">
              <w:rPr>
                <w:rFonts w:eastAsia="Calibri" w:cs="Calibri"/>
                <w:sz w:val="20"/>
                <w:szCs w:val="20"/>
              </w:rPr>
              <w:t xml:space="preserve">. </w:t>
            </w:r>
            <w:r w:rsidR="6E3ACA8D" w:rsidRPr="001941B0">
              <w:rPr>
                <w:rFonts w:eastAsia="Calibri" w:cs="Calibri"/>
                <w:sz w:val="20"/>
                <w:szCs w:val="20"/>
              </w:rPr>
              <w:t>W</w:t>
            </w:r>
            <w:r w:rsidR="008D0837" w:rsidRPr="001941B0">
              <w:rPr>
                <w:rFonts w:eastAsia="Calibri" w:cs="Calibri"/>
                <w:sz w:val="20"/>
                <w:szCs w:val="20"/>
              </w:rPr>
              <w:t>ynika to z odrębnych przepisów</w:t>
            </w:r>
            <w:r w:rsidR="3FDB0CBE" w:rsidRPr="001941B0">
              <w:rPr>
                <w:rFonts w:eastAsia="Calibri" w:cs="Calibri"/>
                <w:sz w:val="20"/>
                <w:szCs w:val="20"/>
              </w:rPr>
              <w:t xml:space="preserve"> prawa</w:t>
            </w:r>
            <w:r w:rsidR="006D50B7" w:rsidRPr="001941B0">
              <w:rPr>
                <w:rFonts w:eastAsia="Calibri" w:cs="Calibri"/>
                <w:sz w:val="20"/>
                <w:szCs w:val="20"/>
              </w:rPr>
              <w:t>.</w:t>
            </w:r>
          </w:p>
        </w:tc>
      </w:tr>
      <w:tr w:rsidR="00FC7212" w:rsidRPr="001941B0" w14:paraId="4F942973" w14:textId="77777777" w:rsidTr="7139DBB9">
        <w:tc>
          <w:tcPr>
            <w:tcW w:w="1125" w:type="dxa"/>
            <w:shd w:val="clear" w:color="auto" w:fill="FFFFFF" w:themeFill="background1"/>
          </w:tcPr>
          <w:p w14:paraId="16AB147B"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C3D6F27" w14:textId="4673E55C"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sz w:val="20"/>
                <w:szCs w:val="20"/>
              </w:rPr>
              <w:t>Konsultant Krajowy w dziedzinie Radiologii i diagnostyki obrazowej</w:t>
            </w:r>
          </w:p>
        </w:tc>
        <w:tc>
          <w:tcPr>
            <w:tcW w:w="1949" w:type="dxa"/>
            <w:shd w:val="clear" w:color="auto" w:fill="FFFFFF" w:themeFill="background1"/>
          </w:tcPr>
          <w:p w14:paraId="31CF8B7D" w14:textId="510DE91E"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4</w:t>
            </w:r>
          </w:p>
          <w:p w14:paraId="1BDDF50D" w14:textId="2B77C1B2"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23ED7127"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Brak określenia roli lekarza specj. radiologii i diagnostyki obrazowej lub lekarza w trakcie specjalizacji z radiologii i diagnostyki obrazowej w procesie wykorzystania AI. </w:t>
            </w:r>
            <w:r w:rsidRPr="001941B0">
              <w:rPr>
                <w:sz w:val="20"/>
                <w:szCs w:val="20"/>
              </w:rPr>
              <w:t xml:space="preserve"> </w:t>
            </w:r>
            <w:r w:rsidRPr="001941B0">
              <w:rPr>
                <w:rFonts w:cs="Calibri"/>
                <w:sz w:val="20"/>
                <w:szCs w:val="20"/>
              </w:rPr>
              <w:t>Art. 4 projektu (generowanie dokumentów systemowych), przepisy dotyczące EDM.</w:t>
            </w:r>
          </w:p>
          <w:p w14:paraId="671A9858"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Uwagi:</w:t>
            </w:r>
          </w:p>
          <w:p w14:paraId="02534422"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Projekt nie określa:</w:t>
            </w:r>
          </w:p>
          <w:p w14:paraId="4F698FDD"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że lekarz specj. radiologii i diagnostyki obrazowej lub lekarza w trakcie specjalizacji z radiologii i diagnostyki obrazowej musi każdorazowo weryfikować wynik AI,</w:t>
            </w:r>
          </w:p>
          <w:p w14:paraId="1FC0DE04"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czy możliwe jest automatyczne generowanie opisów badań,</w:t>
            </w:r>
          </w:p>
          <w:p w14:paraId="451209EF"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czy wynik AI może stanowić dokumentację medyczną bez autoryzacji radiologa.</w:t>
            </w:r>
          </w:p>
          <w:p w14:paraId="6013DE6E"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Brak takich regulacji stwarza ryzyko automatyzacji procesu opisu badań bez zapewnienia odpowiedniego nadzoru specjalisty.</w:t>
            </w:r>
          </w:p>
          <w:p w14:paraId="7548FC2C"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Propozycja: Opis badania obrazowego sporządzony z wykorzystaniem systemów analitycznych lub sztucznej inteligencji wymaga każdorazowo weryfikacji i autoryzacji przez lekarza specj. radiologii i diagnostyki obrazowej lub lekarza w trakcie specjalizacji z radiologii i diagnostyki </w:t>
            </w:r>
            <w:r w:rsidRPr="001941B0">
              <w:rPr>
                <w:rFonts w:cs="Calibri"/>
                <w:sz w:val="20"/>
                <w:szCs w:val="20"/>
              </w:rPr>
              <w:lastRenderedPageBreak/>
              <w:t>obrazowej. Informacja o wykorzystaniu systemu podlega odnotowaniu w dokumentacji medycznej.</w:t>
            </w:r>
          </w:p>
          <w:p w14:paraId="2D0EAAF2" w14:textId="0BFF1880"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cs="Calibri"/>
                <w:sz w:val="20"/>
                <w:szCs w:val="20"/>
              </w:rPr>
              <w:t>Uzasadnienie: Projekt nie precyzuje, jaka jest rola radiologa przy wykorzystaniu AI. Nie ma jasnych zasad współpracy z systemem.</w:t>
            </w:r>
          </w:p>
        </w:tc>
        <w:tc>
          <w:tcPr>
            <w:tcW w:w="2855" w:type="dxa"/>
            <w:shd w:val="clear" w:color="auto" w:fill="FFFFFF" w:themeFill="background1"/>
          </w:tcPr>
          <w:p w14:paraId="7DFA865C" w14:textId="169CBC59" w:rsidR="00306E53" w:rsidRPr="001941B0" w:rsidRDefault="002E1790"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5F649A1F" w14:textId="06F3CAA7" w:rsidR="001E4504" w:rsidRPr="001941B0" w:rsidRDefault="001A71CF" w:rsidP="006E0CB2">
            <w:pPr>
              <w:autoSpaceDE w:val="0"/>
              <w:autoSpaceDN w:val="0"/>
              <w:adjustRightInd w:val="0"/>
              <w:spacing w:after="0" w:line="240" w:lineRule="auto"/>
              <w:rPr>
                <w:sz w:val="20"/>
                <w:szCs w:val="20"/>
              </w:rPr>
            </w:pPr>
            <w:r w:rsidRPr="001941B0">
              <w:rPr>
                <w:sz w:val="20"/>
                <w:szCs w:val="20"/>
              </w:rPr>
              <w:t xml:space="preserve">Uprawnienia </w:t>
            </w:r>
            <w:r w:rsidR="00DED15D" w:rsidRPr="001941B0">
              <w:rPr>
                <w:sz w:val="20"/>
                <w:szCs w:val="20"/>
              </w:rPr>
              <w:t>tych</w:t>
            </w:r>
            <w:r w:rsidR="329C1C61" w:rsidRPr="001941B0">
              <w:rPr>
                <w:sz w:val="20"/>
                <w:szCs w:val="20"/>
              </w:rPr>
              <w:t xml:space="preserve"> </w:t>
            </w:r>
            <w:r w:rsidRPr="001941B0">
              <w:rPr>
                <w:sz w:val="20"/>
                <w:szCs w:val="20"/>
              </w:rPr>
              <w:t>lekarz</w:t>
            </w:r>
            <w:r w:rsidR="00640010" w:rsidRPr="001941B0">
              <w:rPr>
                <w:sz w:val="20"/>
                <w:szCs w:val="20"/>
              </w:rPr>
              <w:t>y</w:t>
            </w:r>
            <w:r w:rsidRPr="001941B0">
              <w:rPr>
                <w:sz w:val="20"/>
                <w:szCs w:val="20"/>
              </w:rPr>
              <w:t xml:space="preserve"> w</w:t>
            </w:r>
            <w:r w:rsidR="00FA7A72" w:rsidRPr="001941B0">
              <w:rPr>
                <w:sz w:val="20"/>
                <w:szCs w:val="20"/>
              </w:rPr>
              <w:t>ynika</w:t>
            </w:r>
            <w:r w:rsidRPr="001941B0">
              <w:rPr>
                <w:sz w:val="20"/>
                <w:szCs w:val="20"/>
              </w:rPr>
              <w:t>ją</w:t>
            </w:r>
            <w:r w:rsidR="00FA7A72" w:rsidRPr="001941B0">
              <w:rPr>
                <w:sz w:val="20"/>
                <w:szCs w:val="20"/>
              </w:rPr>
              <w:t xml:space="preserve"> z odrębnych </w:t>
            </w:r>
            <w:r w:rsidR="005077DF" w:rsidRPr="001941B0">
              <w:rPr>
                <w:sz w:val="20"/>
                <w:szCs w:val="20"/>
              </w:rPr>
              <w:t xml:space="preserve"> </w:t>
            </w:r>
            <w:r w:rsidR="00FA7A72" w:rsidRPr="001941B0">
              <w:rPr>
                <w:sz w:val="20"/>
                <w:szCs w:val="20"/>
              </w:rPr>
              <w:t>przepisów</w:t>
            </w:r>
            <w:r w:rsidR="00640010" w:rsidRPr="001941B0">
              <w:rPr>
                <w:sz w:val="20"/>
                <w:szCs w:val="20"/>
              </w:rPr>
              <w:t xml:space="preserve"> </w:t>
            </w:r>
            <w:r w:rsidR="784E5805" w:rsidRPr="001941B0">
              <w:rPr>
                <w:sz w:val="20"/>
                <w:szCs w:val="20"/>
              </w:rPr>
              <w:t>prawa</w:t>
            </w:r>
            <w:r w:rsidR="39F4AB3F" w:rsidRPr="001941B0">
              <w:rPr>
                <w:sz w:val="20"/>
                <w:szCs w:val="20"/>
              </w:rPr>
              <w:t>.</w:t>
            </w:r>
            <w:r w:rsidR="7F2947E7" w:rsidRPr="001941B0">
              <w:rPr>
                <w:sz w:val="20"/>
                <w:szCs w:val="20"/>
              </w:rPr>
              <w:t xml:space="preserve"> </w:t>
            </w:r>
          </w:p>
          <w:p w14:paraId="3C94BAAE" w14:textId="77777777" w:rsidR="00C4307C" w:rsidRPr="001941B0" w:rsidRDefault="00C4307C" w:rsidP="006E0CB2">
            <w:pPr>
              <w:autoSpaceDE w:val="0"/>
              <w:autoSpaceDN w:val="0"/>
              <w:adjustRightInd w:val="0"/>
              <w:spacing w:after="0" w:line="240" w:lineRule="auto"/>
              <w:rPr>
                <w:rFonts w:cstheme="minorHAnsi"/>
                <w:sz w:val="20"/>
                <w:szCs w:val="20"/>
              </w:rPr>
            </w:pPr>
          </w:p>
          <w:p w14:paraId="26C0DABC" w14:textId="457136E2" w:rsidR="00306E53" w:rsidRPr="001941B0" w:rsidRDefault="00306E53" w:rsidP="006E0CB2">
            <w:pPr>
              <w:autoSpaceDE w:val="0"/>
              <w:autoSpaceDN w:val="0"/>
              <w:adjustRightInd w:val="0"/>
              <w:spacing w:after="0" w:line="240" w:lineRule="auto"/>
              <w:rPr>
                <w:rFonts w:cstheme="minorHAnsi"/>
                <w:sz w:val="20"/>
                <w:szCs w:val="20"/>
              </w:rPr>
            </w:pPr>
          </w:p>
        </w:tc>
      </w:tr>
      <w:tr w:rsidR="00FC7212" w:rsidRPr="001941B0" w14:paraId="20206BCC" w14:textId="77777777" w:rsidTr="7139DBB9">
        <w:tc>
          <w:tcPr>
            <w:tcW w:w="1125" w:type="dxa"/>
            <w:shd w:val="clear" w:color="auto" w:fill="FFFFFF" w:themeFill="background1"/>
          </w:tcPr>
          <w:p w14:paraId="1BAE79D7"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5BF26AD" w14:textId="6714353E"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Konsultant krajowy w dziedzinie radiologii i diagnostyki obrazowej</w:t>
            </w:r>
          </w:p>
          <w:p w14:paraId="0F84F663" w14:textId="77777777" w:rsidR="00306E53" w:rsidRPr="001941B0" w:rsidRDefault="00306E53" w:rsidP="006E0CB2">
            <w:pPr>
              <w:autoSpaceDE w:val="0"/>
              <w:autoSpaceDN w:val="0"/>
              <w:adjustRightInd w:val="0"/>
              <w:spacing w:after="0" w:line="240" w:lineRule="auto"/>
              <w:rPr>
                <w:rFonts w:cs="Calibri"/>
                <w:sz w:val="20"/>
                <w:szCs w:val="20"/>
              </w:rPr>
            </w:pPr>
          </w:p>
        </w:tc>
        <w:tc>
          <w:tcPr>
            <w:tcW w:w="1949" w:type="dxa"/>
            <w:shd w:val="clear" w:color="auto" w:fill="FFFFFF" w:themeFill="background1"/>
          </w:tcPr>
          <w:p w14:paraId="52A66D91" w14:textId="1FB394A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2F3A2DB6" w14:textId="2C5B1FB9" w:rsidR="00F96258" w:rsidRPr="001941B0" w:rsidRDefault="00F96258" w:rsidP="006E0CB2">
            <w:pPr>
              <w:autoSpaceDE w:val="0"/>
              <w:autoSpaceDN w:val="0"/>
              <w:adjustRightInd w:val="0"/>
              <w:spacing w:after="0" w:line="240" w:lineRule="auto"/>
              <w:rPr>
                <w:rFonts w:cs="Calibri"/>
                <w:sz w:val="20"/>
                <w:szCs w:val="20"/>
              </w:rPr>
            </w:pPr>
          </w:p>
          <w:p w14:paraId="7AED002A" w14:textId="21177F87"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419E6601" w14:textId="766E5983"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 xml:space="preserve">Ustawa o SIOZ – PUI, art. 31d ust. 5 – pseudonimizacja PESEL/identyfikatora i danych „jeżeli nie uniemożliwia to wsparcia procesu diagnostycznego”. Sformułowanie nieostre; ryzyko rozbieżnych praktyk i osłabienia zasady minimalizacji danych. </w:t>
            </w:r>
          </w:p>
          <w:p w14:paraId="2810826D" w14:textId="2291D321"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b/>
                <w:bCs/>
                <w:sz w:val="20"/>
                <w:szCs w:val="20"/>
              </w:rPr>
              <w:t>Propozycja:</w:t>
            </w:r>
            <w:r w:rsidRPr="001941B0">
              <w:rPr>
                <w:rFonts w:eastAsia="Calibri" w:cs="Calibri"/>
                <w:sz w:val="20"/>
                <w:szCs w:val="20"/>
              </w:rPr>
              <w:t xml:space="preserve"> Doprecyzować przesłanki wyjątku: kiedy pseudonimizacja może być ograniczona i które elementy danych są niezbędne; wskazać zasadę, że pseudonimizacja jest domyślna i obowiązkowa.</w:t>
            </w:r>
          </w:p>
          <w:p w14:paraId="712C410B" w14:textId="43801848"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b/>
                <w:bCs/>
                <w:sz w:val="20"/>
                <w:szCs w:val="20"/>
              </w:rPr>
              <w:t>Uzasadnienie:</w:t>
            </w:r>
            <w:r w:rsidRPr="001941B0">
              <w:rPr>
                <w:rFonts w:eastAsia="Calibri" w:cs="Calibri"/>
                <w:sz w:val="20"/>
                <w:szCs w:val="20"/>
              </w:rPr>
              <w:t xml:space="preserve"> Ujednolicenie praktyk między świadczeniodawcami i zgodność z zasadami minimalizacji danych/bezpieczeństwa.</w:t>
            </w:r>
          </w:p>
        </w:tc>
        <w:tc>
          <w:tcPr>
            <w:tcW w:w="2855" w:type="dxa"/>
            <w:shd w:val="clear" w:color="auto" w:fill="FFFFFF" w:themeFill="background1"/>
          </w:tcPr>
          <w:p w14:paraId="4796C0DD" w14:textId="5F26A4AA" w:rsidR="00306E53" w:rsidRPr="001941B0" w:rsidRDefault="00725C9C" w:rsidP="006E0CB2">
            <w:pPr>
              <w:autoSpaceDE w:val="0"/>
              <w:autoSpaceDN w:val="0"/>
              <w:adjustRightInd w:val="0"/>
              <w:spacing w:after="0" w:line="240" w:lineRule="auto"/>
              <w:rPr>
                <w:b/>
                <w:sz w:val="20"/>
                <w:szCs w:val="20"/>
              </w:rPr>
            </w:pPr>
            <w:r w:rsidRPr="001941B0">
              <w:rPr>
                <w:b/>
                <w:sz w:val="20"/>
                <w:szCs w:val="20"/>
              </w:rPr>
              <w:t>Wyjaśnienie</w:t>
            </w:r>
          </w:p>
          <w:p w14:paraId="49C83184" w14:textId="473D84DE" w:rsidR="00306E53" w:rsidRPr="001941B0" w:rsidRDefault="00683F96" w:rsidP="00EC1A20">
            <w:pPr>
              <w:autoSpaceDE w:val="0"/>
              <w:autoSpaceDN w:val="0"/>
              <w:adjustRightInd w:val="0"/>
              <w:spacing w:after="0" w:line="240" w:lineRule="auto"/>
              <w:rPr>
                <w:sz w:val="20"/>
                <w:szCs w:val="20"/>
              </w:rPr>
            </w:pPr>
            <w:r w:rsidRPr="001941B0">
              <w:rPr>
                <w:sz w:val="20"/>
                <w:szCs w:val="20"/>
              </w:rPr>
              <w:t xml:space="preserve">Zasada </w:t>
            </w:r>
            <w:r w:rsidR="00725C9C" w:rsidRPr="001941B0">
              <w:rPr>
                <w:sz w:val="20"/>
                <w:szCs w:val="20"/>
              </w:rPr>
              <w:t>pseudonimizacji</w:t>
            </w:r>
            <w:r w:rsidRPr="001941B0">
              <w:rPr>
                <w:sz w:val="20"/>
                <w:szCs w:val="20"/>
              </w:rPr>
              <w:t xml:space="preserve"> jest zasadą </w:t>
            </w:r>
            <w:r w:rsidR="00F870FE" w:rsidRPr="001941B0">
              <w:rPr>
                <w:sz w:val="20"/>
                <w:szCs w:val="20"/>
              </w:rPr>
              <w:t>nadrzędną</w:t>
            </w:r>
            <w:r w:rsidRPr="001941B0">
              <w:rPr>
                <w:sz w:val="20"/>
                <w:szCs w:val="20"/>
              </w:rPr>
              <w:t xml:space="preserve">, </w:t>
            </w:r>
            <w:r w:rsidR="00725C9C" w:rsidRPr="001941B0">
              <w:rPr>
                <w:sz w:val="20"/>
                <w:szCs w:val="20"/>
              </w:rPr>
              <w:t>wyjątek</w:t>
            </w:r>
            <w:r w:rsidRPr="001941B0">
              <w:rPr>
                <w:sz w:val="20"/>
                <w:szCs w:val="20"/>
              </w:rPr>
              <w:t xml:space="preserve"> </w:t>
            </w:r>
            <w:r w:rsidR="00725C9C" w:rsidRPr="001941B0">
              <w:rPr>
                <w:sz w:val="20"/>
                <w:szCs w:val="20"/>
              </w:rPr>
              <w:t>został</w:t>
            </w:r>
            <w:r w:rsidRPr="001941B0">
              <w:rPr>
                <w:sz w:val="20"/>
                <w:szCs w:val="20"/>
              </w:rPr>
              <w:t xml:space="preserve"> określony</w:t>
            </w:r>
            <w:r w:rsidR="00F870FE" w:rsidRPr="001941B0">
              <w:rPr>
                <w:sz w:val="20"/>
                <w:szCs w:val="20"/>
              </w:rPr>
              <w:t xml:space="preserve"> </w:t>
            </w:r>
            <w:r w:rsidRPr="001941B0">
              <w:rPr>
                <w:sz w:val="20"/>
                <w:szCs w:val="20"/>
              </w:rPr>
              <w:t xml:space="preserve">w </w:t>
            </w:r>
            <w:r w:rsidR="00EC1A20" w:rsidRPr="001941B0">
              <w:rPr>
                <w:sz w:val="20"/>
                <w:szCs w:val="20"/>
              </w:rPr>
              <w:t>przepisach.</w:t>
            </w:r>
          </w:p>
        </w:tc>
      </w:tr>
      <w:tr w:rsidR="00FC7212" w:rsidRPr="001941B0" w14:paraId="077AE64E" w14:textId="77777777" w:rsidTr="7139DBB9">
        <w:tc>
          <w:tcPr>
            <w:tcW w:w="1125" w:type="dxa"/>
            <w:shd w:val="clear" w:color="auto" w:fill="FFFFFF" w:themeFill="background1"/>
          </w:tcPr>
          <w:p w14:paraId="02FED87C"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5C3B48A" w14:textId="02A79D14"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3CAA6236" w14:textId="7D18B39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195005C8" w14:textId="72DFA666" w:rsidR="00F96258" w:rsidRPr="001941B0" w:rsidRDefault="00F96258" w:rsidP="006E0CB2">
            <w:pPr>
              <w:autoSpaceDE w:val="0"/>
              <w:autoSpaceDN w:val="0"/>
              <w:adjustRightInd w:val="0"/>
              <w:spacing w:after="0" w:line="240" w:lineRule="auto"/>
              <w:rPr>
                <w:rFonts w:cs="Calibri"/>
                <w:sz w:val="20"/>
                <w:szCs w:val="20"/>
              </w:rPr>
            </w:pPr>
          </w:p>
          <w:p w14:paraId="3FF1BB0C" w14:textId="35837D09"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56A92C60" w14:textId="5B6A3E53"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 xml:space="preserve">Ustawa o SIOZ – PUI, art. 31d ust. 11–12 – administrator danych: minister; administratorem systemu: CeZ. </w:t>
            </w:r>
            <w:r w:rsidRPr="001941B0">
              <w:rPr>
                <w:sz w:val="20"/>
                <w:szCs w:val="20"/>
              </w:rPr>
              <w:t xml:space="preserve"> </w:t>
            </w:r>
            <w:r w:rsidRPr="001941B0">
              <w:rPr>
                <w:rFonts w:eastAsia="Calibri" w:cs="Calibri"/>
                <w:sz w:val="20"/>
                <w:szCs w:val="20"/>
              </w:rPr>
              <w:t xml:space="preserve">Warto doprecyzować podział odpowiedzialności (role, audyt, reagowanie na incydenty, obowiązki informacyjne). </w:t>
            </w:r>
          </w:p>
          <w:p w14:paraId="5E6FEFBD" w14:textId="75FA9656"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b/>
                <w:sz w:val="20"/>
                <w:szCs w:val="20"/>
              </w:rPr>
              <w:t>Propozycja:</w:t>
            </w:r>
            <w:r w:rsidRPr="001941B0">
              <w:rPr>
                <w:rFonts w:eastAsia="Calibri" w:cs="Calibri"/>
                <w:sz w:val="20"/>
                <w:szCs w:val="20"/>
              </w:rPr>
              <w:t xml:space="preserve"> Doprecyzować w przepisach/aktach wykonawczych: zakres odpowiedzialności MZ i CeZ, zasady audytu, obsługi incydentów i raportowania.</w:t>
            </w:r>
          </w:p>
          <w:p w14:paraId="097AF70C" w14:textId="29664845"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b/>
                <w:bCs/>
                <w:sz w:val="20"/>
                <w:szCs w:val="20"/>
              </w:rPr>
              <w:t>Uzasadnienie:</w:t>
            </w:r>
            <w:r w:rsidRPr="001941B0">
              <w:rPr>
                <w:rFonts w:eastAsia="Calibri" w:cs="Calibri"/>
                <w:sz w:val="20"/>
                <w:szCs w:val="20"/>
              </w:rPr>
              <w:t xml:space="preserve"> System o wysokiej skali ryzyka (AI + obrazy) wymaga jednoznacznych ról i ścieżek odpowiedzialności.</w:t>
            </w:r>
          </w:p>
          <w:p w14:paraId="37A18C93" w14:textId="77777777" w:rsidR="00306E53" w:rsidRPr="001941B0" w:rsidRDefault="00306E53" w:rsidP="006E0CB2">
            <w:pPr>
              <w:autoSpaceDE w:val="0"/>
              <w:autoSpaceDN w:val="0"/>
              <w:adjustRightInd w:val="0"/>
              <w:spacing w:after="0" w:line="240" w:lineRule="auto"/>
              <w:rPr>
                <w:rFonts w:eastAsia="Calibri" w:cs="Calibri"/>
                <w:sz w:val="20"/>
                <w:szCs w:val="20"/>
              </w:rPr>
            </w:pPr>
          </w:p>
        </w:tc>
        <w:tc>
          <w:tcPr>
            <w:tcW w:w="2855" w:type="dxa"/>
            <w:shd w:val="clear" w:color="auto" w:fill="FFFFFF" w:themeFill="background1"/>
          </w:tcPr>
          <w:p w14:paraId="05BE3BF9" w14:textId="77777777" w:rsidR="00B34CD6" w:rsidRPr="001941B0" w:rsidRDefault="004A47B4" w:rsidP="006E0CB2">
            <w:pPr>
              <w:autoSpaceDE w:val="0"/>
              <w:autoSpaceDN w:val="0"/>
              <w:adjustRightInd w:val="0"/>
              <w:spacing w:after="0" w:line="240" w:lineRule="auto"/>
              <w:rPr>
                <w:rFonts w:cstheme="minorHAnsi"/>
                <w:b/>
                <w:bCs/>
                <w:sz w:val="20"/>
                <w:szCs w:val="20"/>
              </w:rPr>
            </w:pPr>
            <w:r w:rsidRPr="001941B0">
              <w:rPr>
                <w:rFonts w:cstheme="minorHAnsi"/>
                <w:b/>
                <w:sz w:val="20"/>
                <w:szCs w:val="20"/>
              </w:rPr>
              <w:t>Uwaga nieuwzględniona</w:t>
            </w:r>
          </w:p>
          <w:p w14:paraId="4B9AAA0F" w14:textId="50DAFBCA" w:rsidR="00306E53" w:rsidRPr="001941B0" w:rsidRDefault="623E366A" w:rsidP="006E0CB2">
            <w:pPr>
              <w:autoSpaceDE w:val="0"/>
              <w:autoSpaceDN w:val="0"/>
              <w:adjustRightInd w:val="0"/>
              <w:spacing w:after="0" w:line="240" w:lineRule="auto"/>
              <w:rPr>
                <w:sz w:val="20"/>
                <w:szCs w:val="20"/>
              </w:rPr>
            </w:pPr>
            <w:r w:rsidRPr="001941B0">
              <w:rPr>
                <w:sz w:val="20"/>
                <w:szCs w:val="20"/>
              </w:rPr>
              <w:t>P</w:t>
            </w:r>
            <w:r w:rsidR="549E8E38" w:rsidRPr="001941B0">
              <w:rPr>
                <w:sz w:val="20"/>
                <w:szCs w:val="20"/>
              </w:rPr>
              <w:t xml:space="preserve">rzedmiotowe kwestie zostały </w:t>
            </w:r>
            <w:r w:rsidR="00A52ACF" w:rsidRPr="001941B0">
              <w:rPr>
                <w:sz w:val="20"/>
                <w:szCs w:val="20"/>
              </w:rPr>
              <w:t>określone</w:t>
            </w:r>
            <w:r w:rsidR="549E8E38" w:rsidRPr="001941B0">
              <w:rPr>
                <w:sz w:val="20"/>
                <w:szCs w:val="20"/>
              </w:rPr>
              <w:t xml:space="preserve"> i</w:t>
            </w:r>
            <w:r w:rsidR="7D68455D" w:rsidRPr="001941B0">
              <w:rPr>
                <w:sz w:val="20"/>
                <w:szCs w:val="20"/>
              </w:rPr>
              <w:t xml:space="preserve"> wynika</w:t>
            </w:r>
            <w:r w:rsidR="67010677" w:rsidRPr="001941B0">
              <w:rPr>
                <w:sz w:val="20"/>
                <w:szCs w:val="20"/>
              </w:rPr>
              <w:t>ją</w:t>
            </w:r>
            <w:r w:rsidR="7D68455D" w:rsidRPr="001941B0">
              <w:rPr>
                <w:sz w:val="20"/>
                <w:szCs w:val="20"/>
              </w:rPr>
              <w:t xml:space="preserve"> z oddzielnych przepisów.</w:t>
            </w:r>
          </w:p>
        </w:tc>
      </w:tr>
      <w:tr w:rsidR="00FC7212" w:rsidRPr="001941B0" w14:paraId="2013DD3C" w14:textId="77777777" w:rsidTr="7139DBB9">
        <w:tc>
          <w:tcPr>
            <w:tcW w:w="1125" w:type="dxa"/>
            <w:shd w:val="clear" w:color="auto" w:fill="FFFFFF" w:themeFill="background1"/>
          </w:tcPr>
          <w:p w14:paraId="1B633B64"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8EA23C0" w14:textId="30F1D089"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5903C3B1" w14:textId="69863008"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17)</w:t>
            </w:r>
          </w:p>
          <w:p w14:paraId="7C4866AE" w14:textId="582054C3" w:rsidR="004C5B8D" w:rsidRPr="001941B0" w:rsidRDefault="004C5B8D" w:rsidP="006E0CB2">
            <w:pPr>
              <w:autoSpaceDE w:val="0"/>
              <w:autoSpaceDN w:val="0"/>
              <w:adjustRightInd w:val="0"/>
              <w:spacing w:after="0" w:line="240" w:lineRule="auto"/>
              <w:rPr>
                <w:rFonts w:cs="Calibri"/>
                <w:sz w:val="20"/>
                <w:szCs w:val="20"/>
              </w:rPr>
            </w:pPr>
          </w:p>
          <w:p w14:paraId="596A4DF9" w14:textId="76EBB70C"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286523D7" w14:textId="77777777"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 xml:space="preserve">PUI – art. 31d ust. 13 – informacje w BIP o narzędziach i maksymalnej liczbie usługodawców z dostępem. </w:t>
            </w:r>
            <w:r w:rsidRPr="001941B0">
              <w:rPr>
                <w:sz w:val="20"/>
                <w:szCs w:val="20"/>
              </w:rPr>
              <w:t xml:space="preserve"> </w:t>
            </w:r>
            <w:r w:rsidRPr="001941B0">
              <w:rPr>
                <w:rFonts w:eastAsia="Calibri" w:cs="Calibri"/>
                <w:sz w:val="20"/>
                <w:szCs w:val="20"/>
              </w:rPr>
              <w:t>Limity dostępu mogą skutkować nierównym wdrożeniem bez jasnych kryteriów kwalifikacji.</w:t>
            </w:r>
          </w:p>
          <w:p w14:paraId="77D5420F" w14:textId="77777777"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 xml:space="preserve">Propozycja: </w:t>
            </w:r>
            <w:r w:rsidRPr="001941B0">
              <w:rPr>
                <w:sz w:val="20"/>
                <w:szCs w:val="20"/>
              </w:rPr>
              <w:t xml:space="preserve"> </w:t>
            </w:r>
            <w:r w:rsidRPr="001941B0">
              <w:rPr>
                <w:rFonts w:eastAsia="Calibri" w:cs="Calibri"/>
                <w:sz w:val="20"/>
                <w:szCs w:val="20"/>
              </w:rPr>
              <w:t>Wnieść o transparentne kryteria kwalifikacji i kolejności dostępu (potrzeby kliniczne, gotowość integracyjna, pilotaże), publikowane wraz z katalogiem.</w:t>
            </w:r>
          </w:p>
          <w:p w14:paraId="5E3E1F66" w14:textId="60FB2857" w:rsidR="00306E53" w:rsidRPr="001941B0" w:rsidRDefault="00306E53" w:rsidP="006E0CB2">
            <w:pPr>
              <w:autoSpaceDE w:val="0"/>
              <w:autoSpaceDN w:val="0"/>
              <w:adjustRightInd w:val="0"/>
              <w:spacing w:after="0" w:line="240" w:lineRule="auto"/>
              <w:rPr>
                <w:rFonts w:eastAsia="Calibri" w:cs="Calibri"/>
                <w:sz w:val="20"/>
                <w:szCs w:val="20"/>
              </w:rPr>
            </w:pPr>
            <w:r w:rsidRPr="001941B0">
              <w:rPr>
                <w:rFonts w:eastAsia="Calibri" w:cs="Calibri"/>
                <w:sz w:val="20"/>
                <w:szCs w:val="20"/>
              </w:rPr>
              <w:t xml:space="preserve">Uzasadnienie: </w:t>
            </w:r>
            <w:r w:rsidRPr="001941B0">
              <w:rPr>
                <w:sz w:val="20"/>
                <w:szCs w:val="20"/>
              </w:rPr>
              <w:t xml:space="preserve"> </w:t>
            </w:r>
            <w:r w:rsidRPr="001941B0">
              <w:rPr>
                <w:rFonts w:eastAsia="Calibri" w:cs="Calibri"/>
                <w:sz w:val="20"/>
                <w:szCs w:val="20"/>
              </w:rPr>
              <w:t>Zapewnia przewidywalność i równość traktowania świadczeniodawców oraz spójność wdrożenia.</w:t>
            </w:r>
          </w:p>
        </w:tc>
        <w:tc>
          <w:tcPr>
            <w:tcW w:w="2855" w:type="dxa"/>
            <w:shd w:val="clear" w:color="auto" w:fill="FFFFFF" w:themeFill="background1"/>
          </w:tcPr>
          <w:p w14:paraId="687D3432" w14:textId="65EF88D9" w:rsidR="00FB3701" w:rsidRPr="001941B0" w:rsidRDefault="00FB3701" w:rsidP="006E0CB2">
            <w:pPr>
              <w:autoSpaceDE w:val="0"/>
              <w:autoSpaceDN w:val="0"/>
              <w:adjustRightInd w:val="0"/>
              <w:spacing w:after="0" w:line="240" w:lineRule="auto"/>
              <w:rPr>
                <w:sz w:val="20"/>
                <w:szCs w:val="20"/>
              </w:rPr>
            </w:pPr>
            <w:r w:rsidRPr="001941B0">
              <w:rPr>
                <w:sz w:val="20"/>
                <w:szCs w:val="20"/>
              </w:rPr>
              <w:t>Uwaga nieuwzględniona</w:t>
            </w:r>
          </w:p>
          <w:p w14:paraId="10477302" w14:textId="50A7A380" w:rsidR="00306E53" w:rsidRPr="001941B0" w:rsidRDefault="00B659A2" w:rsidP="006E0CB2">
            <w:pPr>
              <w:autoSpaceDE w:val="0"/>
              <w:autoSpaceDN w:val="0"/>
              <w:adjustRightInd w:val="0"/>
              <w:spacing w:after="0" w:line="240" w:lineRule="auto"/>
              <w:rPr>
                <w:rFonts w:cstheme="minorHAnsi"/>
                <w:sz w:val="20"/>
                <w:szCs w:val="20"/>
              </w:rPr>
            </w:pPr>
            <w:r w:rsidRPr="001941B0">
              <w:rPr>
                <w:rFonts w:cstheme="minorHAnsi"/>
                <w:sz w:val="20"/>
                <w:szCs w:val="20"/>
              </w:rPr>
              <w:t>Projektowane regulacje wynikają z ograniczeń wydajnościowych systemu.</w:t>
            </w:r>
            <w:r w:rsidR="002D780A" w:rsidRPr="001941B0">
              <w:rPr>
                <w:rFonts w:cstheme="minorHAnsi"/>
                <w:sz w:val="20"/>
                <w:szCs w:val="20"/>
              </w:rPr>
              <w:t xml:space="preserve"> Implementowane rozwiązanie jest </w:t>
            </w:r>
            <w:r w:rsidR="00B910B5" w:rsidRPr="001941B0">
              <w:rPr>
                <w:rFonts w:cstheme="minorHAnsi"/>
                <w:sz w:val="20"/>
                <w:szCs w:val="20"/>
              </w:rPr>
              <w:t>pionierskie na skalę świata.</w:t>
            </w:r>
          </w:p>
        </w:tc>
      </w:tr>
      <w:tr w:rsidR="00FC7212" w:rsidRPr="001941B0" w14:paraId="2B707629" w14:textId="77777777" w:rsidTr="7139DBB9">
        <w:tc>
          <w:tcPr>
            <w:tcW w:w="1125" w:type="dxa"/>
            <w:shd w:val="clear" w:color="auto" w:fill="FFFFFF" w:themeFill="background1"/>
          </w:tcPr>
          <w:p w14:paraId="1BE12BF5"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910681F" w14:textId="000299F3" w:rsidR="00306E53" w:rsidRPr="001941B0" w:rsidRDefault="00306E53" w:rsidP="006E0CB2">
            <w:pPr>
              <w:spacing w:after="0" w:line="240" w:lineRule="auto"/>
              <w:rPr>
                <w:rFonts w:cs="Calibri"/>
                <w:sz w:val="20"/>
                <w:szCs w:val="20"/>
              </w:rPr>
            </w:pPr>
            <w:r w:rsidRPr="001941B0">
              <w:rPr>
                <w:rFonts w:cs="Calibri"/>
                <w:sz w:val="20"/>
                <w:szCs w:val="20"/>
              </w:rPr>
              <w:t>Związek Polska Cyfrowa</w:t>
            </w:r>
          </w:p>
        </w:tc>
        <w:tc>
          <w:tcPr>
            <w:tcW w:w="1949" w:type="dxa"/>
            <w:shd w:val="clear" w:color="auto" w:fill="FFFFFF" w:themeFill="background1"/>
          </w:tcPr>
          <w:p w14:paraId="6689915A" w14:textId="5FFA6B8F" w:rsidR="00306E53" w:rsidRPr="001941B0" w:rsidRDefault="00306E53" w:rsidP="006E0CB2">
            <w:pPr>
              <w:spacing w:after="0" w:line="240" w:lineRule="auto"/>
              <w:rPr>
                <w:rFonts w:cs="Calibri"/>
                <w:sz w:val="20"/>
                <w:szCs w:val="20"/>
              </w:rPr>
            </w:pPr>
            <w:r w:rsidRPr="001941B0">
              <w:rPr>
                <w:rFonts w:cs="Calibri"/>
                <w:sz w:val="20"/>
                <w:szCs w:val="20"/>
              </w:rPr>
              <w:t>Art 5 pkt. 15)</w:t>
            </w:r>
          </w:p>
          <w:p w14:paraId="2174832E" w14:textId="36C946E3" w:rsidR="004C5B8D" w:rsidRPr="001941B0" w:rsidRDefault="004C5B8D" w:rsidP="006E0CB2">
            <w:pPr>
              <w:spacing w:after="0" w:line="240" w:lineRule="auto"/>
              <w:rPr>
                <w:rFonts w:cs="Calibri"/>
                <w:sz w:val="20"/>
                <w:szCs w:val="20"/>
              </w:rPr>
            </w:pPr>
          </w:p>
          <w:p w14:paraId="2755F107" w14:textId="4BDA45FD" w:rsidR="00306E53" w:rsidRPr="001941B0" w:rsidRDefault="00306E53" w:rsidP="006E0CB2">
            <w:pPr>
              <w:spacing w:after="0" w:line="240" w:lineRule="auto"/>
              <w:rPr>
                <w:rFonts w:cs="Calibri"/>
                <w:sz w:val="20"/>
                <w:szCs w:val="20"/>
              </w:rPr>
            </w:pPr>
          </w:p>
        </w:tc>
        <w:tc>
          <w:tcPr>
            <w:tcW w:w="5652" w:type="dxa"/>
            <w:shd w:val="clear" w:color="auto" w:fill="FFFFFF" w:themeFill="background1"/>
          </w:tcPr>
          <w:p w14:paraId="22604736" w14:textId="4E24E1DB" w:rsidR="00306E53" w:rsidRPr="001941B0" w:rsidRDefault="00306E53" w:rsidP="006E0CB2">
            <w:pPr>
              <w:spacing w:after="0" w:line="240" w:lineRule="auto"/>
              <w:jc w:val="both"/>
              <w:rPr>
                <w:sz w:val="20"/>
                <w:szCs w:val="20"/>
              </w:rPr>
            </w:pPr>
            <w:r w:rsidRPr="001941B0">
              <w:rPr>
                <w:rFonts w:eastAsia="Times New Roman" w:cs="Times New Roman"/>
                <w:b/>
                <w:color w:val="000000" w:themeColor="text1"/>
                <w:sz w:val="20"/>
                <w:szCs w:val="20"/>
              </w:rPr>
              <w:t>Digitalizacja dokumentacji i pieczęć elektroniczna: wymagany status prawny, interoperacyjność i odpowiedzialność</w:t>
            </w:r>
          </w:p>
          <w:p w14:paraId="412B581A" w14:textId="09607141" w:rsidR="00306E53" w:rsidRPr="001941B0" w:rsidRDefault="00306E53" w:rsidP="006E0CB2">
            <w:pPr>
              <w:spacing w:after="0" w:line="240" w:lineRule="auto"/>
              <w:jc w:val="both"/>
              <w:rPr>
                <w:sz w:val="20"/>
                <w:szCs w:val="20"/>
              </w:rPr>
            </w:pPr>
            <w:r w:rsidRPr="001941B0">
              <w:rPr>
                <w:rFonts w:eastAsia="Times New Roman" w:cs="Times New Roman"/>
                <w:color w:val="000000" w:themeColor="text1"/>
                <w:sz w:val="20"/>
                <w:szCs w:val="20"/>
              </w:rPr>
              <w:t>Co do zasady rozumiemy intencję wsparcia digitalizacji poprzez dopuszczenie pieczęci elektronicznej, jednak obecne brzmienie przepisu jest zbyt szerokie, bo pozwala na użycie „dowolnej” pieczęci bez określenia jej statusu prawnego. To osłabia bezpieczeństwo prawne i faktyczne (w tym niezaprzeczalność) w porównaniu z sytuacją podpisów, które projekt dopuszcza wyłącznie w trzech ściśle zdefiniowanych formach.</w:t>
            </w:r>
          </w:p>
          <w:p w14:paraId="2DD77C65" w14:textId="0EC261C4" w:rsidR="00306E53" w:rsidRPr="001941B0" w:rsidRDefault="00306E53" w:rsidP="006E0CB2">
            <w:pPr>
              <w:spacing w:after="0" w:line="240" w:lineRule="auto"/>
              <w:jc w:val="both"/>
              <w:rPr>
                <w:sz w:val="20"/>
                <w:szCs w:val="20"/>
              </w:rPr>
            </w:pPr>
            <w:r w:rsidRPr="001941B0">
              <w:rPr>
                <w:rFonts w:eastAsia="Times New Roman" w:cs="Times New Roman"/>
                <w:color w:val="000000" w:themeColor="text1"/>
                <w:sz w:val="20"/>
                <w:szCs w:val="20"/>
              </w:rPr>
              <w:t>Rekomendujemy doprecyzowanie, że chodzi co najmniej o pieczęć kwalifikowaną, ewentualnie (z przyczyn praktycznych) pieczęć zaawansowaną opartą na kwalifikowanym certyfikacie, co wspiera interoperacyjność i uznawalność dokumentów również w obrocie transgranicznym.</w:t>
            </w:r>
          </w:p>
          <w:p w14:paraId="2F5699DD" w14:textId="6F514A79" w:rsidR="00306E53" w:rsidRPr="001941B0" w:rsidRDefault="00306E53" w:rsidP="006E0CB2">
            <w:pPr>
              <w:spacing w:after="0" w:line="240" w:lineRule="auto"/>
              <w:jc w:val="both"/>
              <w:rPr>
                <w:sz w:val="20"/>
                <w:szCs w:val="20"/>
              </w:rPr>
            </w:pPr>
            <w:r w:rsidRPr="001941B0">
              <w:rPr>
                <w:rFonts w:eastAsia="Times New Roman" w:cs="Times New Roman"/>
                <w:sz w:val="20"/>
                <w:szCs w:val="20"/>
              </w:rPr>
              <w:t>Dodatkowo należy zabezpieczyć kwestię odpowiedzialności: identyfikacja usługodawcy pieczęcią może być celowa, ale nie może prowadzić do „rozmycia” odpowiedzialności osoby dokonującej digitalizacji, bo to może obniżać staranność procesu i finalnie uderzać w pacjenta.</w:t>
            </w:r>
          </w:p>
          <w:p w14:paraId="133C5912" w14:textId="7C5B07D6" w:rsidR="00306E53" w:rsidRPr="001941B0" w:rsidRDefault="00306E53" w:rsidP="006E0CB2">
            <w:pPr>
              <w:spacing w:after="0" w:line="240" w:lineRule="auto"/>
              <w:jc w:val="both"/>
              <w:rPr>
                <w:sz w:val="20"/>
                <w:szCs w:val="20"/>
              </w:rPr>
            </w:pPr>
            <w:r w:rsidRPr="001941B0">
              <w:rPr>
                <w:rFonts w:eastAsia="Times New Roman" w:cs="Times New Roman"/>
                <w:sz w:val="20"/>
                <w:szCs w:val="20"/>
              </w:rPr>
              <w:t xml:space="preserve"> </w:t>
            </w:r>
          </w:p>
          <w:p w14:paraId="630BB7D7" w14:textId="381FF366" w:rsidR="00306E53" w:rsidRPr="001941B0" w:rsidRDefault="00306E53" w:rsidP="006E0CB2">
            <w:pPr>
              <w:spacing w:after="0" w:line="240" w:lineRule="auto"/>
              <w:jc w:val="both"/>
              <w:rPr>
                <w:sz w:val="20"/>
                <w:szCs w:val="20"/>
              </w:rPr>
            </w:pPr>
            <w:r w:rsidRPr="001941B0">
              <w:rPr>
                <w:rFonts w:eastAsia="Times New Roman" w:cs="Times New Roman"/>
                <w:color w:val="000000" w:themeColor="text1"/>
                <w:sz w:val="20"/>
                <w:szCs w:val="20"/>
              </w:rPr>
              <w:t>W tym duchu proponujemy, aby docelowe brzmienie przepisu wskazywało na „zaawansowaną pieczęć elektroniczną opartą na kwalifikowanym certyfikacie usługodawcy” oraz aby dokument cyfrowy umożliwiał jednoznaczną identyfikację zarówno podmiotu, jak i osoby odpowiedzialnej za potwierdzenie zgodności, bez konieczności odwoływania się do zewnętrznych systemów</w:t>
            </w:r>
          </w:p>
        </w:tc>
        <w:tc>
          <w:tcPr>
            <w:tcW w:w="2855" w:type="dxa"/>
            <w:shd w:val="clear" w:color="auto" w:fill="FFFFFF" w:themeFill="background1"/>
          </w:tcPr>
          <w:p w14:paraId="1ECDF79B" w14:textId="6310F36E" w:rsidR="00306E53" w:rsidRPr="001941B0" w:rsidRDefault="001A5B59" w:rsidP="006E0CB2">
            <w:pPr>
              <w:autoSpaceDE w:val="0"/>
              <w:autoSpaceDN w:val="0"/>
              <w:adjustRightInd w:val="0"/>
              <w:spacing w:after="0" w:line="240" w:lineRule="auto"/>
              <w:rPr>
                <w:rFonts w:cstheme="minorHAnsi"/>
                <w:sz w:val="20"/>
                <w:szCs w:val="20"/>
              </w:rPr>
            </w:pPr>
            <w:r w:rsidRPr="001941B0">
              <w:rPr>
                <w:rFonts w:cstheme="minorHAnsi"/>
                <w:sz w:val="20"/>
                <w:szCs w:val="20"/>
              </w:rPr>
              <w:t>Wyjaśnienie</w:t>
            </w:r>
          </w:p>
          <w:p w14:paraId="6E791349" w14:textId="77777777" w:rsidR="00BB65BC" w:rsidRPr="001941B0" w:rsidRDefault="00BB65BC" w:rsidP="006E0CB2">
            <w:pPr>
              <w:autoSpaceDE w:val="0"/>
              <w:autoSpaceDN w:val="0"/>
              <w:adjustRightInd w:val="0"/>
              <w:spacing w:after="0" w:line="240" w:lineRule="auto"/>
              <w:rPr>
                <w:rFonts w:cstheme="minorHAnsi"/>
                <w:sz w:val="20"/>
                <w:szCs w:val="20"/>
              </w:rPr>
            </w:pPr>
          </w:p>
          <w:p w14:paraId="3447395D" w14:textId="1C57ABCA" w:rsidR="00306E53" w:rsidRPr="001941B0" w:rsidRDefault="001A5B59" w:rsidP="006E0CB2">
            <w:pPr>
              <w:autoSpaceDE w:val="0"/>
              <w:autoSpaceDN w:val="0"/>
              <w:adjustRightInd w:val="0"/>
              <w:spacing w:after="0" w:line="240" w:lineRule="auto"/>
              <w:rPr>
                <w:rFonts w:cstheme="minorHAnsi"/>
                <w:sz w:val="20"/>
                <w:szCs w:val="20"/>
              </w:rPr>
            </w:pPr>
            <w:r w:rsidRPr="001941B0">
              <w:rPr>
                <w:rFonts w:cstheme="minorHAnsi"/>
                <w:sz w:val="20"/>
                <w:szCs w:val="20"/>
              </w:rPr>
              <w:t>Jw. w uw</w:t>
            </w:r>
            <w:r w:rsidR="00035C41" w:rsidRPr="001941B0">
              <w:rPr>
                <w:rFonts w:cstheme="minorHAnsi"/>
                <w:sz w:val="20"/>
                <w:szCs w:val="20"/>
              </w:rPr>
              <w:t>aga</w:t>
            </w:r>
            <w:r w:rsidRPr="001941B0">
              <w:rPr>
                <w:rFonts w:cstheme="minorHAnsi"/>
                <w:sz w:val="20"/>
                <w:szCs w:val="20"/>
              </w:rPr>
              <w:t>ch</w:t>
            </w:r>
            <w:r w:rsidR="00035C41" w:rsidRPr="001941B0">
              <w:rPr>
                <w:rFonts w:cstheme="minorHAnsi"/>
                <w:sz w:val="20"/>
                <w:szCs w:val="20"/>
              </w:rPr>
              <w:t xml:space="preserve"> nr 105, 151</w:t>
            </w:r>
            <w:r w:rsidR="001E56CF" w:rsidRPr="001941B0">
              <w:rPr>
                <w:rFonts w:cstheme="minorHAnsi"/>
                <w:sz w:val="20"/>
                <w:szCs w:val="20"/>
              </w:rPr>
              <w:t>, 161</w:t>
            </w:r>
          </w:p>
        </w:tc>
      </w:tr>
      <w:tr w:rsidR="00FC7212" w:rsidRPr="001941B0" w14:paraId="33F1DE2E" w14:textId="77777777" w:rsidTr="7139DBB9">
        <w:tc>
          <w:tcPr>
            <w:tcW w:w="1125" w:type="dxa"/>
            <w:shd w:val="clear" w:color="auto" w:fill="FFFFFF" w:themeFill="background1"/>
          </w:tcPr>
          <w:p w14:paraId="1471C06A"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52983FB" w14:textId="4EE9A1B8" w:rsidR="00306E53" w:rsidRPr="001941B0" w:rsidRDefault="00306E53" w:rsidP="006E0CB2">
            <w:pPr>
              <w:spacing w:after="0" w:line="240" w:lineRule="auto"/>
              <w:rPr>
                <w:rFonts w:cs="Calibri"/>
                <w:sz w:val="20"/>
                <w:szCs w:val="20"/>
              </w:rPr>
            </w:pPr>
            <w:r w:rsidRPr="001941B0">
              <w:rPr>
                <w:rFonts w:cs="Calibri"/>
                <w:sz w:val="20"/>
                <w:szCs w:val="20"/>
              </w:rPr>
              <w:t xml:space="preserve">Związek Cyfrowa Polska </w:t>
            </w:r>
          </w:p>
        </w:tc>
        <w:tc>
          <w:tcPr>
            <w:tcW w:w="1949" w:type="dxa"/>
            <w:shd w:val="clear" w:color="auto" w:fill="FFFFFF" w:themeFill="background1"/>
          </w:tcPr>
          <w:p w14:paraId="5BE23EE2" w14:textId="6D5B4FE2" w:rsidR="00306E53" w:rsidRPr="001941B0" w:rsidRDefault="00306E53" w:rsidP="006E0CB2">
            <w:pPr>
              <w:spacing w:after="0" w:line="240" w:lineRule="auto"/>
              <w:rPr>
                <w:rFonts w:cs="Calibri"/>
                <w:sz w:val="20"/>
                <w:szCs w:val="20"/>
              </w:rPr>
            </w:pPr>
            <w:r w:rsidRPr="001941B0">
              <w:rPr>
                <w:rFonts w:cs="Calibri"/>
                <w:sz w:val="20"/>
                <w:szCs w:val="20"/>
              </w:rPr>
              <w:t>Art 5</w:t>
            </w:r>
          </w:p>
          <w:p w14:paraId="58FB5560" w14:textId="77777777" w:rsidR="004D28A5" w:rsidRPr="001941B0" w:rsidRDefault="004D28A5" w:rsidP="006E0CB2">
            <w:pPr>
              <w:spacing w:after="0" w:line="240" w:lineRule="auto"/>
              <w:rPr>
                <w:rFonts w:cs="Calibri"/>
                <w:sz w:val="20"/>
                <w:szCs w:val="20"/>
              </w:rPr>
            </w:pPr>
          </w:p>
          <w:p w14:paraId="5B46364B" w14:textId="0FBBD3DA" w:rsidR="00306E53" w:rsidRPr="001941B0" w:rsidRDefault="00306E53" w:rsidP="006E0CB2">
            <w:pPr>
              <w:spacing w:after="0" w:line="240" w:lineRule="auto"/>
              <w:rPr>
                <w:rFonts w:cs="Calibri"/>
                <w:b/>
                <w:sz w:val="20"/>
                <w:szCs w:val="20"/>
              </w:rPr>
            </w:pPr>
          </w:p>
        </w:tc>
        <w:tc>
          <w:tcPr>
            <w:tcW w:w="5652" w:type="dxa"/>
            <w:shd w:val="clear" w:color="auto" w:fill="FFFFFF" w:themeFill="background1"/>
          </w:tcPr>
          <w:p w14:paraId="526461F8" w14:textId="57EE4358" w:rsidR="00306E53" w:rsidRPr="001941B0" w:rsidRDefault="00306E53" w:rsidP="006E0CB2">
            <w:pPr>
              <w:spacing w:after="0" w:line="240" w:lineRule="auto"/>
              <w:jc w:val="both"/>
              <w:rPr>
                <w:sz w:val="20"/>
                <w:szCs w:val="20"/>
              </w:rPr>
            </w:pPr>
            <w:r w:rsidRPr="001941B0">
              <w:rPr>
                <w:rFonts w:eastAsia="Times New Roman" w:cs="Times New Roman"/>
                <w:b/>
                <w:color w:val="000000" w:themeColor="text1"/>
                <w:sz w:val="20"/>
                <w:szCs w:val="20"/>
              </w:rPr>
              <w:t>EDM i pełna cyfryzacja procesów: dopuszczenie podpisu odręcznego utrwalonego elektronicznie</w:t>
            </w:r>
          </w:p>
          <w:p w14:paraId="6172A135" w14:textId="515760FE" w:rsidR="00306E53" w:rsidRPr="001941B0" w:rsidRDefault="00306E53" w:rsidP="006E0CB2">
            <w:pPr>
              <w:spacing w:after="0" w:line="240" w:lineRule="auto"/>
              <w:jc w:val="both"/>
              <w:rPr>
                <w:sz w:val="20"/>
                <w:szCs w:val="20"/>
              </w:rPr>
            </w:pPr>
            <w:r w:rsidRPr="001941B0">
              <w:rPr>
                <w:rFonts w:eastAsia="Times New Roman" w:cs="Times New Roman"/>
                <w:color w:val="000000" w:themeColor="text1"/>
                <w:sz w:val="20"/>
                <w:szCs w:val="20"/>
              </w:rPr>
              <w:t xml:space="preserve">W projekcie należy wprost dopuścić możliwość składania podpisu własnoręcznego utrwalonego elektronicznie wraz z danymi identyfikującymi osobę podpisującą, jako rozwiązania dla przypadków, w których dokument wymaga podpisu osoby niemającej możliwości użycia podpisu elektronicznego. Dziś jest to realna, uznana prawnie i wykonalna technicznie ścieżka, </w:t>
            </w:r>
            <w:r w:rsidRPr="001941B0">
              <w:rPr>
                <w:rFonts w:eastAsia="Times New Roman" w:cs="Times New Roman"/>
                <w:color w:val="000000" w:themeColor="text1"/>
                <w:sz w:val="20"/>
                <w:szCs w:val="20"/>
              </w:rPr>
              <w:lastRenderedPageBreak/>
              <w:t>która pozwala domykać cyfryzację już na etapie tworzenia dokumentacji, zamiast utrwalać model papier plus późniejsza digitalizacja.</w:t>
            </w:r>
          </w:p>
          <w:p w14:paraId="6535886A" w14:textId="61B3291B" w:rsidR="00306E53" w:rsidRPr="001941B0" w:rsidRDefault="00306E53" w:rsidP="006E0CB2">
            <w:pPr>
              <w:spacing w:after="0" w:line="240" w:lineRule="auto"/>
              <w:jc w:val="both"/>
              <w:rPr>
                <w:sz w:val="20"/>
                <w:szCs w:val="20"/>
              </w:rPr>
            </w:pPr>
            <w:r w:rsidRPr="001941B0">
              <w:rPr>
                <w:rFonts w:eastAsia="Times New Roman" w:cs="Times New Roman"/>
                <w:color w:val="000000" w:themeColor="text1"/>
                <w:sz w:val="20"/>
                <w:szCs w:val="20"/>
              </w:rPr>
              <w:t xml:space="preserve">Proponowany kierunek zapisu w art. 2 pkt 6 lit. b ustawy o SIOZ powinien obejmować dodanie możliwości użycia „podpisu odręcznego utrwalonego elektronicznie wraz z danymi identyfikującymi osobę podpisującą”. </w:t>
            </w:r>
          </w:p>
        </w:tc>
        <w:tc>
          <w:tcPr>
            <w:tcW w:w="2855" w:type="dxa"/>
            <w:shd w:val="clear" w:color="auto" w:fill="FFFFFF" w:themeFill="background1"/>
          </w:tcPr>
          <w:p w14:paraId="6D1E06A5" w14:textId="388C57DE" w:rsidR="00306E53" w:rsidRPr="001941B0" w:rsidRDefault="00944479" w:rsidP="006E0CB2">
            <w:pPr>
              <w:autoSpaceDE w:val="0"/>
              <w:autoSpaceDN w:val="0"/>
              <w:adjustRightInd w:val="0"/>
              <w:spacing w:after="0" w:line="240" w:lineRule="auto"/>
              <w:rPr>
                <w:rFonts w:cstheme="minorHAnsi"/>
                <w:sz w:val="20"/>
                <w:szCs w:val="20"/>
              </w:rPr>
            </w:pPr>
            <w:r w:rsidRPr="001941B0">
              <w:rPr>
                <w:rFonts w:cstheme="minorHAnsi"/>
                <w:sz w:val="20"/>
                <w:szCs w:val="20"/>
              </w:rPr>
              <w:lastRenderedPageBreak/>
              <w:t>Jw. w uwagach nr 105, 151, 161</w:t>
            </w:r>
          </w:p>
        </w:tc>
      </w:tr>
      <w:tr w:rsidR="00FC7212" w:rsidRPr="001941B0" w14:paraId="6C64033D" w14:textId="77777777" w:rsidTr="7139DBB9">
        <w:tc>
          <w:tcPr>
            <w:tcW w:w="1125" w:type="dxa"/>
            <w:shd w:val="clear" w:color="auto" w:fill="FFFFFF" w:themeFill="background1"/>
          </w:tcPr>
          <w:p w14:paraId="014E7522"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9F05871" w14:textId="28729B5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Związek Cyfrowa Polska</w:t>
            </w:r>
          </w:p>
        </w:tc>
        <w:tc>
          <w:tcPr>
            <w:tcW w:w="1949" w:type="dxa"/>
            <w:shd w:val="clear" w:color="auto" w:fill="FFFFFF" w:themeFill="background1"/>
          </w:tcPr>
          <w:p w14:paraId="54AC2035" w14:textId="1D3F2216"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Art 5 </w:t>
            </w:r>
            <w:r w:rsidRPr="001941B0">
              <w:br/>
            </w:r>
            <w:r w:rsidRPr="001941B0">
              <w:rPr>
                <w:rFonts w:cs="Calibri"/>
                <w:sz w:val="20"/>
                <w:szCs w:val="20"/>
              </w:rPr>
              <w:t>11) b - 2a</w:t>
            </w:r>
          </w:p>
          <w:p w14:paraId="76FB2416" w14:textId="0D426B41" w:rsidR="00016590" w:rsidRPr="001941B0" w:rsidRDefault="00016590" w:rsidP="006E0CB2">
            <w:pPr>
              <w:autoSpaceDE w:val="0"/>
              <w:autoSpaceDN w:val="0"/>
              <w:adjustRightInd w:val="0"/>
              <w:spacing w:after="0" w:line="240" w:lineRule="auto"/>
              <w:rPr>
                <w:rFonts w:cs="Calibri"/>
                <w:sz w:val="20"/>
                <w:szCs w:val="20"/>
              </w:rPr>
            </w:pPr>
          </w:p>
          <w:p w14:paraId="547DBEA4" w14:textId="2C5360F0"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45AE671F" w14:textId="16C7F544" w:rsidR="00306E53" w:rsidRPr="001941B0" w:rsidRDefault="00306E53" w:rsidP="006E0CB2">
            <w:pPr>
              <w:autoSpaceDE w:val="0"/>
              <w:autoSpaceDN w:val="0"/>
              <w:adjustRightInd w:val="0"/>
              <w:spacing w:after="0" w:line="240" w:lineRule="auto"/>
              <w:jc w:val="both"/>
              <w:rPr>
                <w:sz w:val="20"/>
                <w:szCs w:val="20"/>
              </w:rPr>
            </w:pPr>
            <w:r w:rsidRPr="001941B0">
              <w:rPr>
                <w:rFonts w:eastAsia="Times New Roman" w:cs="Times New Roman"/>
                <w:b/>
                <w:color w:val="000000" w:themeColor="text1"/>
                <w:sz w:val="20"/>
                <w:szCs w:val="20"/>
              </w:rPr>
              <w:t>Projektowany art. 13b ust. 2a: redundancja i ryzyko niejasności</w:t>
            </w:r>
          </w:p>
          <w:p w14:paraId="77078BD7" w14:textId="5782AA5B" w:rsidR="00306E53" w:rsidRPr="001941B0" w:rsidRDefault="00306E53" w:rsidP="006E0CB2">
            <w:pPr>
              <w:autoSpaceDE w:val="0"/>
              <w:autoSpaceDN w:val="0"/>
              <w:adjustRightInd w:val="0"/>
              <w:spacing w:after="0" w:line="240" w:lineRule="auto"/>
              <w:jc w:val="both"/>
              <w:rPr>
                <w:sz w:val="20"/>
                <w:szCs w:val="20"/>
              </w:rPr>
            </w:pPr>
            <w:r w:rsidRPr="001941B0">
              <w:rPr>
                <w:rFonts w:eastAsia="Times New Roman" w:cs="Times New Roman"/>
                <w:color w:val="000000" w:themeColor="text1"/>
                <w:sz w:val="20"/>
                <w:szCs w:val="20"/>
              </w:rPr>
              <w:t>Wprowadzenie odrębnego ust. 2a, który mówi o digitalizacji „za pomocą narzędzia informatycznego”, jest w praktyce niejasne i zbędne, bo digitalizacja i tak wymaga użycia narzędzi informatycznych. Rekomendujemy usunięcie ust. 2a, pozostawiając możliwość wprowadzenia narzędzia udostępnianego przez jednostkę podległą ministrowi w kolejnych ustępach, albo ewentualnie dopisanie pojęcia „narzędzia informatycznego” wprost do ust. 2, jeśli projektodawca chce je eksponować terminologicznie.</w:t>
            </w:r>
          </w:p>
        </w:tc>
        <w:tc>
          <w:tcPr>
            <w:tcW w:w="2855" w:type="dxa"/>
            <w:shd w:val="clear" w:color="auto" w:fill="FFFFFF" w:themeFill="background1"/>
          </w:tcPr>
          <w:p w14:paraId="778CB761" w14:textId="4B444DB7" w:rsidR="00306E53" w:rsidRPr="001941B0" w:rsidRDefault="00944479" w:rsidP="006E0CB2">
            <w:pPr>
              <w:autoSpaceDE w:val="0"/>
              <w:autoSpaceDN w:val="0"/>
              <w:adjustRightInd w:val="0"/>
              <w:spacing w:after="0" w:line="240" w:lineRule="auto"/>
              <w:rPr>
                <w:rFonts w:cstheme="minorHAnsi"/>
                <w:sz w:val="20"/>
                <w:szCs w:val="20"/>
              </w:rPr>
            </w:pPr>
            <w:r w:rsidRPr="001941B0">
              <w:rPr>
                <w:rFonts w:cstheme="minorHAnsi"/>
                <w:sz w:val="20"/>
                <w:szCs w:val="20"/>
              </w:rPr>
              <w:t>Jw. w uwagach nr 105, 151, 161</w:t>
            </w:r>
          </w:p>
        </w:tc>
      </w:tr>
      <w:tr w:rsidR="00FC7212" w:rsidRPr="001941B0" w14:paraId="7DA35F15" w14:textId="77777777" w:rsidTr="7139DBB9">
        <w:tc>
          <w:tcPr>
            <w:tcW w:w="1125" w:type="dxa"/>
            <w:shd w:val="clear" w:color="auto" w:fill="FFFFFF" w:themeFill="background1"/>
          </w:tcPr>
          <w:p w14:paraId="53DD36D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990E316" w14:textId="28729B5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Związek Cyfrowa Polska</w:t>
            </w:r>
          </w:p>
          <w:p w14:paraId="688EB84A" w14:textId="73E8FD8D" w:rsidR="00306E53" w:rsidRPr="001941B0" w:rsidRDefault="00306E53" w:rsidP="006E0CB2">
            <w:pPr>
              <w:autoSpaceDE w:val="0"/>
              <w:autoSpaceDN w:val="0"/>
              <w:adjustRightInd w:val="0"/>
              <w:spacing w:after="0" w:line="240" w:lineRule="auto"/>
              <w:rPr>
                <w:rFonts w:cs="Calibri"/>
                <w:bCs/>
                <w:sz w:val="20"/>
                <w:szCs w:val="20"/>
              </w:rPr>
            </w:pPr>
          </w:p>
        </w:tc>
        <w:tc>
          <w:tcPr>
            <w:tcW w:w="1949" w:type="dxa"/>
            <w:shd w:val="clear" w:color="auto" w:fill="FFFFFF" w:themeFill="background1"/>
          </w:tcPr>
          <w:p w14:paraId="42551BD2"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Art 5 </w:t>
            </w:r>
            <w:r w:rsidRPr="001941B0">
              <w:rPr>
                <w:sz w:val="20"/>
                <w:szCs w:val="20"/>
              </w:rPr>
              <w:br/>
            </w:r>
            <w:r w:rsidRPr="001941B0">
              <w:rPr>
                <w:rFonts w:cs="Calibri"/>
                <w:sz w:val="20"/>
                <w:szCs w:val="20"/>
              </w:rPr>
              <w:t>11) b - 2b</w:t>
            </w:r>
          </w:p>
          <w:p w14:paraId="4640E053" w14:textId="15BAA0EB"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379699F7" w14:textId="05EBB3E0" w:rsidR="00306E53" w:rsidRPr="001941B0" w:rsidRDefault="00306E53" w:rsidP="006E0CB2">
            <w:pPr>
              <w:autoSpaceDE w:val="0"/>
              <w:autoSpaceDN w:val="0"/>
              <w:adjustRightInd w:val="0"/>
              <w:spacing w:after="0" w:line="240" w:lineRule="auto"/>
              <w:jc w:val="both"/>
              <w:rPr>
                <w:sz w:val="20"/>
                <w:szCs w:val="20"/>
              </w:rPr>
            </w:pPr>
            <w:r w:rsidRPr="001941B0">
              <w:rPr>
                <w:rFonts w:eastAsia="Times New Roman" w:cs="Times New Roman"/>
                <w:b/>
                <w:color w:val="000000" w:themeColor="text1"/>
                <w:sz w:val="20"/>
                <w:szCs w:val="20"/>
              </w:rPr>
              <w:t>Narzędzie do digitalizacji udostępniane nieodpłatnie: neutralność technologiczna i wykorzystanie rynku</w:t>
            </w:r>
          </w:p>
          <w:p w14:paraId="41EAAA24" w14:textId="15C61822" w:rsidR="00306E53" w:rsidRPr="001941B0" w:rsidRDefault="00306E53" w:rsidP="006E0CB2">
            <w:pPr>
              <w:autoSpaceDE w:val="0"/>
              <w:autoSpaceDN w:val="0"/>
              <w:adjustRightInd w:val="0"/>
              <w:spacing w:after="0" w:line="240" w:lineRule="auto"/>
              <w:jc w:val="both"/>
              <w:rPr>
                <w:sz w:val="20"/>
                <w:szCs w:val="20"/>
              </w:rPr>
            </w:pPr>
            <w:r w:rsidRPr="001941B0">
              <w:rPr>
                <w:rFonts w:eastAsia="Times New Roman" w:cs="Times New Roman"/>
                <w:color w:val="000000" w:themeColor="text1"/>
                <w:sz w:val="20"/>
                <w:szCs w:val="20"/>
              </w:rPr>
              <w:t xml:space="preserve">Pozytywnie oceniamy samą ideę udostępnienia nieodpłatnego narzędzia, bo może to realnie zwiększyć skalę digitalizacji dokumentacji papierowej. </w:t>
            </w:r>
            <w:r w:rsidRPr="001941B0">
              <w:rPr>
                <w:rFonts w:eastAsia="Times New Roman" w:cs="Times New Roman"/>
                <w:sz w:val="20"/>
                <w:szCs w:val="20"/>
              </w:rPr>
              <w:t xml:space="preserve">Jednocześnie zwracamy uwagę, </w:t>
            </w:r>
            <w:r w:rsidRPr="001941B0">
              <w:rPr>
                <w:sz w:val="20"/>
                <w:szCs w:val="20"/>
              </w:rPr>
              <w:br/>
            </w:r>
            <w:r w:rsidRPr="001941B0">
              <w:rPr>
                <w:rFonts w:eastAsia="Times New Roman" w:cs="Times New Roman"/>
                <w:sz w:val="20"/>
                <w:szCs w:val="20"/>
              </w:rPr>
              <w:t>że z uzasadnienia wynika, iż narzędzie ma być dopiero wytwarzane, co rodzi pytanie o możliwość wykorzystania istniejących, sprawdzonych rynkowo rozwiązań oraz o zapewnienie neutralności technologicznej i konkurencyjności.</w:t>
            </w:r>
          </w:p>
        </w:tc>
        <w:tc>
          <w:tcPr>
            <w:tcW w:w="2855" w:type="dxa"/>
            <w:shd w:val="clear" w:color="auto" w:fill="FFFFFF" w:themeFill="background1"/>
          </w:tcPr>
          <w:p w14:paraId="628E06AF" w14:textId="205E28CC" w:rsidR="00306E53" w:rsidRPr="001941B0" w:rsidRDefault="00944479" w:rsidP="006E0CB2">
            <w:pPr>
              <w:autoSpaceDE w:val="0"/>
              <w:autoSpaceDN w:val="0"/>
              <w:adjustRightInd w:val="0"/>
              <w:spacing w:after="0" w:line="240" w:lineRule="auto"/>
              <w:rPr>
                <w:rFonts w:cstheme="minorHAnsi"/>
                <w:sz w:val="20"/>
                <w:szCs w:val="20"/>
              </w:rPr>
            </w:pPr>
            <w:r w:rsidRPr="001941B0">
              <w:rPr>
                <w:rFonts w:cstheme="minorHAnsi"/>
                <w:sz w:val="20"/>
                <w:szCs w:val="20"/>
              </w:rPr>
              <w:t>Jw. w uwagach nr 105, 151, 161</w:t>
            </w:r>
          </w:p>
        </w:tc>
      </w:tr>
      <w:tr w:rsidR="00FC7212" w:rsidRPr="001941B0" w14:paraId="6CEA3197" w14:textId="77777777" w:rsidTr="7139DBB9">
        <w:tc>
          <w:tcPr>
            <w:tcW w:w="1125" w:type="dxa"/>
            <w:shd w:val="clear" w:color="auto" w:fill="FFFFFF" w:themeFill="background1"/>
          </w:tcPr>
          <w:p w14:paraId="7F839DF7"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74FF7F3" w14:textId="3717DE79"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Telemedyczna Grupa Robocza</w:t>
            </w:r>
          </w:p>
        </w:tc>
        <w:tc>
          <w:tcPr>
            <w:tcW w:w="1949" w:type="dxa"/>
            <w:shd w:val="clear" w:color="auto" w:fill="FFFFFF" w:themeFill="background1"/>
          </w:tcPr>
          <w:p w14:paraId="623CBD90" w14:textId="14DF3825"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w:t>
            </w:r>
          </w:p>
          <w:p w14:paraId="0F8F3FEE" w14:textId="77777777" w:rsidR="004D28A5" w:rsidRPr="001941B0" w:rsidRDefault="004D28A5" w:rsidP="006E0CB2">
            <w:pPr>
              <w:autoSpaceDE w:val="0"/>
              <w:autoSpaceDN w:val="0"/>
              <w:adjustRightInd w:val="0"/>
              <w:spacing w:after="0" w:line="240" w:lineRule="auto"/>
              <w:rPr>
                <w:rFonts w:cs="Calibri"/>
                <w:sz w:val="20"/>
                <w:szCs w:val="20"/>
              </w:rPr>
            </w:pPr>
          </w:p>
          <w:p w14:paraId="51E822C8" w14:textId="5737A183"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7AF7DE0E" w14:textId="6097E04F"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Proponowany art. 31d ust. 1 ustawy o systemie informacji w ochronie zdrowia</w:t>
            </w:r>
          </w:p>
          <w:p w14:paraId="623EB196" w14:textId="17E962B8"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Komentarz: Zaproponowany przepis wskazuje, że Platforma Usług Inteligentnych zapewnia dostęp do certyfikowanych narzędzi wspomagających dokonywanie diagnostyki medycznej z wykorzystaniem systemów i modeli sztucznej inteligencji. W naszej ocenie stosowane pojęcia – „certyfikowane narzędzia” oraz „modele sztucznej inteligencji” mogą być niejasne i budzić niepotrzebne wątpliwości </w:t>
            </w:r>
            <w:r w:rsidRPr="001941B0">
              <w:rPr>
                <w:rFonts w:cs="Calibri"/>
                <w:sz w:val="20"/>
                <w:szCs w:val="20"/>
              </w:rPr>
              <w:lastRenderedPageBreak/>
              <w:t>interpretacyjne. Z uzasadnienia wynika, że certyfikowane narzędzia to w istocie wyroby medyczne, czyli pojęcie już dobrze znane systemowi prawnemu. Podobnie AI Act1 definiuje „system AI”2, a nie „model”.</w:t>
            </w:r>
          </w:p>
          <w:p w14:paraId="0173E190" w14:textId="5D58E2CD"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Rekomendacja: Proponujemy, aby przepis wykorzystywał pojęcia spójne z innymi regulacjami prawnymi, tj. wyroby medyczne i systemy sztucznej inteligencji.</w:t>
            </w:r>
          </w:p>
          <w:p w14:paraId="6DDE6AAF" w14:textId="48CDD762"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Proponowane brzmienie:</w:t>
            </w:r>
          </w:p>
          <w:p w14:paraId="518B3616" w14:textId="3D26A587"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Platforma Usług Inteligentnych jest systemem teleinformatycznym, który umożliwia usługodawcom będącym podmiotami leczniczymi prowadzącymi działalność leczniczą w rodzaju świadczenia szpitalne dostęp do wyrobów medycznych wspomagających dokonywanie diagnostyki medycznej z wykorzystaniem systemów i modeli sztucznej inteligencji, zwanych dalej „narzędziami wspomagającymi”.</w:t>
            </w:r>
          </w:p>
        </w:tc>
        <w:tc>
          <w:tcPr>
            <w:tcW w:w="2855" w:type="dxa"/>
            <w:shd w:val="clear" w:color="auto" w:fill="FFFFFF" w:themeFill="background1"/>
          </w:tcPr>
          <w:p w14:paraId="3401CE1F" w14:textId="041E5EF9" w:rsidR="001C5D69" w:rsidRPr="001941B0" w:rsidRDefault="00DE098B" w:rsidP="006E0CB2">
            <w:pPr>
              <w:autoSpaceDE w:val="0"/>
              <w:autoSpaceDN w:val="0"/>
              <w:adjustRightInd w:val="0"/>
              <w:spacing w:after="0" w:line="240" w:lineRule="auto"/>
              <w:rPr>
                <w:sz w:val="20"/>
                <w:szCs w:val="20"/>
              </w:rPr>
            </w:pPr>
            <w:r w:rsidRPr="001941B0">
              <w:rPr>
                <w:sz w:val="20"/>
                <w:szCs w:val="20"/>
              </w:rPr>
              <w:lastRenderedPageBreak/>
              <w:t xml:space="preserve">Uwaga </w:t>
            </w:r>
            <w:r w:rsidR="00F62365" w:rsidRPr="001941B0">
              <w:rPr>
                <w:sz w:val="20"/>
                <w:szCs w:val="20"/>
              </w:rPr>
              <w:t>nie</w:t>
            </w:r>
            <w:r w:rsidRPr="001941B0">
              <w:rPr>
                <w:sz w:val="20"/>
                <w:szCs w:val="20"/>
              </w:rPr>
              <w:t>uwzględniona</w:t>
            </w:r>
          </w:p>
          <w:p w14:paraId="64A6C541" w14:textId="430EE79B" w:rsidR="00306E53" w:rsidRPr="001941B0" w:rsidRDefault="00F62365" w:rsidP="00F62365">
            <w:pPr>
              <w:autoSpaceDE w:val="0"/>
              <w:autoSpaceDN w:val="0"/>
              <w:adjustRightInd w:val="0"/>
              <w:spacing w:after="0" w:line="240" w:lineRule="auto"/>
              <w:rPr>
                <w:rFonts w:cstheme="minorHAnsi"/>
                <w:sz w:val="20"/>
                <w:szCs w:val="20"/>
              </w:rPr>
            </w:pPr>
            <w:r w:rsidRPr="001941B0">
              <w:rPr>
                <w:rFonts w:cstheme="minorHAnsi"/>
                <w:sz w:val="20"/>
                <w:szCs w:val="20"/>
              </w:rPr>
              <w:t xml:space="preserve">Wraz </w:t>
            </w:r>
            <w:r w:rsidR="007C78AF" w:rsidRPr="001941B0">
              <w:rPr>
                <w:rFonts w:cstheme="minorHAnsi"/>
                <w:sz w:val="20"/>
                <w:szCs w:val="20"/>
              </w:rPr>
              <w:t>z</w:t>
            </w:r>
            <w:r w:rsidRPr="001941B0">
              <w:rPr>
                <w:rFonts w:cstheme="minorHAnsi"/>
                <w:sz w:val="20"/>
                <w:szCs w:val="20"/>
              </w:rPr>
              <w:t xml:space="preserve"> </w:t>
            </w:r>
            <w:r w:rsidR="007C78AF" w:rsidRPr="001941B0">
              <w:rPr>
                <w:rFonts w:cstheme="minorHAnsi"/>
                <w:sz w:val="20"/>
                <w:szCs w:val="20"/>
              </w:rPr>
              <w:t>rozwojem</w:t>
            </w:r>
            <w:r w:rsidRPr="001941B0">
              <w:rPr>
                <w:rFonts w:cstheme="minorHAnsi"/>
                <w:sz w:val="20"/>
                <w:szCs w:val="20"/>
              </w:rPr>
              <w:t xml:space="preserve"> PUI istnieje możliwość dodawania różnych </w:t>
            </w:r>
            <w:r w:rsidR="007C78AF" w:rsidRPr="001941B0">
              <w:rPr>
                <w:rFonts w:cstheme="minorHAnsi"/>
                <w:sz w:val="20"/>
                <w:szCs w:val="20"/>
              </w:rPr>
              <w:t xml:space="preserve">systemów AI, które np. będą wspomagać prace platformy. Nie możemy ograniczyć tylko do wyrobów medycznych. </w:t>
            </w:r>
          </w:p>
        </w:tc>
      </w:tr>
      <w:tr w:rsidR="00FC7212" w:rsidRPr="001941B0" w14:paraId="2E683A16" w14:textId="77777777" w:rsidTr="7139DBB9">
        <w:tc>
          <w:tcPr>
            <w:tcW w:w="1125" w:type="dxa"/>
            <w:shd w:val="clear" w:color="auto" w:fill="FFFFFF" w:themeFill="background1"/>
          </w:tcPr>
          <w:p w14:paraId="2F031E9F"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5BA8AE9" w14:textId="7DBBC92B"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Telemedyczna Grupa Robocza</w:t>
            </w:r>
          </w:p>
        </w:tc>
        <w:tc>
          <w:tcPr>
            <w:tcW w:w="1949" w:type="dxa"/>
            <w:shd w:val="clear" w:color="auto" w:fill="FFFFFF" w:themeFill="background1"/>
          </w:tcPr>
          <w:p w14:paraId="33ABFE7C" w14:textId="1D472119" w:rsidR="004D28A5"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w:t>
            </w:r>
            <w:r w:rsidR="00581021">
              <w:rPr>
                <w:rFonts w:cs="Calibri"/>
                <w:sz w:val="20"/>
                <w:szCs w:val="20"/>
              </w:rPr>
              <w:t xml:space="preserve"> pkt</w:t>
            </w:r>
            <w:r w:rsidRPr="001941B0">
              <w:rPr>
                <w:rFonts w:cs="Calibri"/>
                <w:sz w:val="20"/>
                <w:szCs w:val="20"/>
              </w:rPr>
              <w:t xml:space="preserve">  9) </w:t>
            </w:r>
            <w:r w:rsidRPr="001941B0">
              <w:rPr>
                <w:sz w:val="20"/>
                <w:szCs w:val="20"/>
              </w:rPr>
              <w:br/>
            </w:r>
          </w:p>
          <w:p w14:paraId="006FDBA0" w14:textId="1A6D241D" w:rsidR="00306E53" w:rsidRPr="001941B0"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63E2AA64" w14:textId="47A82026"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Proponowany art. 11c ust. 8 ustawy o systemie informacji w ochronie zdrowia</w:t>
            </w:r>
          </w:p>
          <w:p w14:paraId="663CF440" w14:textId="48A1BCA8"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Komentarz: Przepis reguluje dość ogólnie przekazywanie danych do systemu Domowej Opieki Medycznej przez różne kategorie podmiotów, m.in. pacjentów, świadczeniodawców oraz dystrybutorów wyrobów medycznych. Nie zawiera przy tym szczegółowych wymogów i zasad wymiany tych danych. Tak ogólne ujęcie może prowadzić do różnorodnych form realizacji w praktyce, przez co system może nie wykorzystywać pełnego potencjału dostępnych danych.</w:t>
            </w:r>
            <w:r w:rsidR="0040298E" w:rsidRPr="001941B0">
              <w:rPr>
                <w:rFonts w:cs="Calibri"/>
                <w:sz w:val="20"/>
                <w:szCs w:val="20"/>
              </w:rPr>
              <w:t xml:space="preserve"> </w:t>
            </w:r>
          </w:p>
          <w:p w14:paraId="5A32457A" w14:textId="02B6C41E"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Rekomendacja: Proponujemy, aby szczegółowe zasady przekazywania danych zostały określone w przepisach wykonawczych przez ministra właściwego do spraw zdrowia. Zapewni to z jednej strony czytelne zasady, a z drugiej strony możliwość elastycznej zmiany za pośrednictwem rozporządzenia ministra zdrowia.</w:t>
            </w:r>
          </w:p>
          <w:p w14:paraId="1E6E04D4" w14:textId="7E8C9949"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Proponujemy dodanie w art. 11c ust. 8:</w:t>
            </w:r>
          </w:p>
          <w:p w14:paraId="5E492778" w14:textId="2EA11562"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Minister właściwy do spraw zdrowia określi, w drodze rozporządzenia, szczegółowe zasady przekazywanych danych do systemu Domowej Opieki Medycznej.</w:t>
            </w:r>
          </w:p>
        </w:tc>
        <w:tc>
          <w:tcPr>
            <w:tcW w:w="2855" w:type="dxa"/>
            <w:shd w:val="clear" w:color="auto" w:fill="FFFFFF" w:themeFill="background1"/>
          </w:tcPr>
          <w:p w14:paraId="080C0154" w14:textId="25D8C9C3" w:rsidR="007804E7" w:rsidRPr="001941B0" w:rsidRDefault="003A5C8F" w:rsidP="006E0CB2">
            <w:pPr>
              <w:autoSpaceDE w:val="0"/>
              <w:autoSpaceDN w:val="0"/>
              <w:adjustRightInd w:val="0"/>
              <w:spacing w:after="0" w:line="240" w:lineRule="auto"/>
              <w:rPr>
                <w:rFonts w:cstheme="minorHAnsi"/>
                <w:b/>
                <w:sz w:val="20"/>
                <w:szCs w:val="20"/>
              </w:rPr>
            </w:pPr>
            <w:r w:rsidRPr="001941B0">
              <w:rPr>
                <w:rFonts w:cstheme="minorHAnsi"/>
                <w:b/>
                <w:sz w:val="20"/>
                <w:szCs w:val="20"/>
              </w:rPr>
              <w:t>Uwaga uwzględniona</w:t>
            </w:r>
            <w:r w:rsidR="009C5908" w:rsidRPr="001941B0">
              <w:rPr>
                <w:rFonts w:cstheme="minorHAnsi"/>
                <w:b/>
                <w:sz w:val="20"/>
                <w:szCs w:val="20"/>
              </w:rPr>
              <w:t xml:space="preserve"> częściowo. </w:t>
            </w:r>
          </w:p>
          <w:p w14:paraId="44607CAA" w14:textId="44ABA5FF" w:rsidR="00306E53" w:rsidRPr="001941B0" w:rsidRDefault="00E87FA8" w:rsidP="006E0CB2">
            <w:pPr>
              <w:autoSpaceDE w:val="0"/>
              <w:autoSpaceDN w:val="0"/>
              <w:adjustRightInd w:val="0"/>
              <w:spacing w:after="0" w:line="240" w:lineRule="auto"/>
              <w:rPr>
                <w:rFonts w:cstheme="minorHAnsi"/>
                <w:b/>
                <w:sz w:val="20"/>
                <w:szCs w:val="20"/>
              </w:rPr>
            </w:pPr>
            <w:r w:rsidRPr="001941B0">
              <w:rPr>
                <w:rFonts w:cstheme="minorHAnsi"/>
                <w:b/>
                <w:sz w:val="20"/>
                <w:szCs w:val="20"/>
              </w:rPr>
              <w:t xml:space="preserve">Integracja wyrobów medycznych będzie możliwa po spełnieniu wymogów </w:t>
            </w:r>
            <w:r w:rsidR="00CF20FE" w:rsidRPr="001941B0">
              <w:rPr>
                <w:rFonts w:cstheme="minorHAnsi"/>
                <w:b/>
                <w:sz w:val="20"/>
                <w:szCs w:val="20"/>
              </w:rPr>
              <w:t xml:space="preserve">technicznych. </w:t>
            </w:r>
          </w:p>
          <w:p w14:paraId="377C1617" w14:textId="22257B57" w:rsidR="0059608C" w:rsidRPr="001941B0" w:rsidRDefault="0059608C" w:rsidP="006E0CB2">
            <w:pPr>
              <w:autoSpaceDE w:val="0"/>
              <w:autoSpaceDN w:val="0"/>
              <w:adjustRightInd w:val="0"/>
              <w:spacing w:after="0" w:line="240" w:lineRule="auto"/>
              <w:rPr>
                <w:rFonts w:cstheme="minorHAnsi"/>
                <w:sz w:val="20"/>
                <w:szCs w:val="20"/>
              </w:rPr>
            </w:pPr>
          </w:p>
        </w:tc>
      </w:tr>
      <w:tr w:rsidR="00FC7212" w:rsidRPr="001941B0" w14:paraId="6AB97029" w14:textId="77777777" w:rsidTr="7139DBB9">
        <w:tc>
          <w:tcPr>
            <w:tcW w:w="1125" w:type="dxa"/>
            <w:shd w:val="clear" w:color="auto" w:fill="FFFFFF" w:themeFill="background1"/>
          </w:tcPr>
          <w:p w14:paraId="6F892DA3"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9A5CB57" w14:textId="7DBBC92B"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Telemedyczna Grupa Robocza</w:t>
            </w:r>
          </w:p>
          <w:p w14:paraId="7CA8C9A3" w14:textId="03E58F04" w:rsidR="00306E53" w:rsidRPr="001941B0" w:rsidRDefault="00306E53" w:rsidP="006E0CB2">
            <w:pPr>
              <w:autoSpaceDE w:val="0"/>
              <w:autoSpaceDN w:val="0"/>
              <w:adjustRightInd w:val="0"/>
              <w:spacing w:after="0" w:line="240" w:lineRule="auto"/>
              <w:rPr>
                <w:rFonts w:cs="Calibri"/>
                <w:sz w:val="20"/>
                <w:szCs w:val="20"/>
              </w:rPr>
            </w:pPr>
          </w:p>
        </w:tc>
        <w:tc>
          <w:tcPr>
            <w:tcW w:w="1949" w:type="dxa"/>
            <w:shd w:val="clear" w:color="auto" w:fill="FFFFFF" w:themeFill="background1"/>
          </w:tcPr>
          <w:p w14:paraId="2A4B2A82" w14:textId="621C665A" w:rsidR="004D28A5"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Art 5 </w:t>
            </w:r>
            <w:r w:rsidR="00581021">
              <w:rPr>
                <w:rFonts w:cs="Calibri"/>
                <w:sz w:val="20"/>
                <w:szCs w:val="20"/>
              </w:rPr>
              <w:t xml:space="preserve"> pkt</w:t>
            </w:r>
            <w:r w:rsidRPr="001941B0">
              <w:rPr>
                <w:rFonts w:cs="Calibri"/>
                <w:sz w:val="20"/>
                <w:szCs w:val="20"/>
              </w:rPr>
              <w:t xml:space="preserve"> 9) </w:t>
            </w:r>
            <w:r w:rsidRPr="001941B0">
              <w:rPr>
                <w:sz w:val="20"/>
                <w:szCs w:val="20"/>
              </w:rPr>
              <w:br/>
            </w:r>
          </w:p>
          <w:p w14:paraId="724C6321" w14:textId="5DE0E26E" w:rsidR="00306E53" w:rsidRPr="00581021" w:rsidRDefault="00306E53" w:rsidP="006E0CB2">
            <w:pPr>
              <w:autoSpaceDE w:val="0"/>
              <w:autoSpaceDN w:val="0"/>
              <w:adjustRightInd w:val="0"/>
              <w:spacing w:after="0" w:line="240" w:lineRule="auto"/>
              <w:rPr>
                <w:rFonts w:cs="Calibri"/>
                <w:b/>
                <w:sz w:val="20"/>
                <w:szCs w:val="20"/>
              </w:rPr>
            </w:pPr>
          </w:p>
        </w:tc>
        <w:tc>
          <w:tcPr>
            <w:tcW w:w="5652" w:type="dxa"/>
            <w:shd w:val="clear" w:color="auto" w:fill="FFFFFF" w:themeFill="background1"/>
          </w:tcPr>
          <w:p w14:paraId="37B4F679" w14:textId="55659D35"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Proponowany art. 38e ust. 1 ustawy o. o refundacji leków, środków spożywczych specjalnego przeznaczenia żywieniowego oraz wyrobów medycznych</w:t>
            </w:r>
          </w:p>
          <w:p w14:paraId="1D31A538" w14:textId="234E921E"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Komentarz: Przepis nie określa zasad przekazywania danych przez podmiot, który wprowadził do obrotu lub do używania wyrób medyczny.</w:t>
            </w:r>
          </w:p>
          <w:p w14:paraId="3DA7996A" w14:textId="201F7D93"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Rekomendacja: Proponujemy doprecyzować, że przekazywanie danych odbywa się na zasadach wynikających z ustawy o systemie informacji w ochronie zdrowia - w sposób zgodny z art. 11c ust. 3 ustawy o systemie informacji w ochronie. W związku z tym proponujemy, aby art. 38 e uzyskał następujące brzmienie:</w:t>
            </w:r>
          </w:p>
          <w:p w14:paraId="7783DEFF" w14:textId="2B926A12"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 xml:space="preserve">„Art. 38e. 1. Podmiot, który wprowadził do obrotu lub do używania wyrób medyczny, który przysługuje świadczeniobiorcom w oparciu o przepisy wydane na podstawie art. 38 ust. 4, jest obowiązany przekazywać do Systemu Informacji Medycznej, o którym mowa w art. 10 ustawy z dnia 28 kwietnia 2011 r. o systemie informacji w ochronie zdrowia, </w:t>
            </w:r>
            <w:r w:rsidRPr="001941B0">
              <w:rPr>
                <w:rFonts w:cs="Calibri"/>
                <w:b/>
                <w:sz w:val="20"/>
                <w:szCs w:val="20"/>
              </w:rPr>
              <w:t>na zasadach określonych w tej ustawie</w:t>
            </w:r>
            <w:r w:rsidRPr="001941B0">
              <w:rPr>
                <w:rFonts w:cs="Calibri"/>
                <w:sz w:val="20"/>
                <w:szCs w:val="20"/>
              </w:rPr>
              <w:t>, dane osobowe i jednostkowe dane medyczne gromadzone przez niego w związku użytkowaniem tego wyrobu przez usługobiorcę, jeżeli takie kryterium przyznania zostało określone w przepisach wydanych na podstawie art. 38 ust. 4.</w:t>
            </w:r>
          </w:p>
        </w:tc>
        <w:tc>
          <w:tcPr>
            <w:tcW w:w="2855" w:type="dxa"/>
            <w:shd w:val="clear" w:color="auto" w:fill="FFFFFF" w:themeFill="background1"/>
          </w:tcPr>
          <w:p w14:paraId="1F706CA4" w14:textId="17C65E94" w:rsidR="000A4CEB" w:rsidRPr="001941B0" w:rsidRDefault="00DB1C99" w:rsidP="006E0CB2">
            <w:pPr>
              <w:autoSpaceDE w:val="0"/>
              <w:autoSpaceDN w:val="0"/>
              <w:adjustRightInd w:val="0"/>
              <w:spacing w:after="0" w:line="240" w:lineRule="auto"/>
              <w:rPr>
                <w:rFonts w:cstheme="minorHAnsi"/>
                <w:b/>
                <w:sz w:val="20"/>
                <w:szCs w:val="20"/>
              </w:rPr>
            </w:pPr>
            <w:r w:rsidRPr="001941B0">
              <w:rPr>
                <w:rFonts w:cstheme="minorHAnsi"/>
                <w:b/>
                <w:sz w:val="20"/>
                <w:szCs w:val="20"/>
              </w:rPr>
              <w:t>Uwaga nieuwzględniona</w:t>
            </w:r>
          </w:p>
          <w:p w14:paraId="32ED139E" w14:textId="0B06F5B6" w:rsidR="000A4CEB" w:rsidRPr="001941B0" w:rsidRDefault="00DB1C99"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Uwaga o charakterze </w:t>
            </w:r>
            <w:r w:rsidR="00F857FA" w:rsidRPr="001941B0">
              <w:rPr>
                <w:rFonts w:cstheme="minorHAnsi"/>
                <w:sz w:val="20"/>
                <w:szCs w:val="20"/>
              </w:rPr>
              <w:t>legislacyjnym</w:t>
            </w:r>
            <w:r w:rsidR="00903198" w:rsidRPr="001941B0">
              <w:rPr>
                <w:rFonts w:cstheme="minorHAnsi"/>
                <w:sz w:val="20"/>
                <w:szCs w:val="20"/>
              </w:rPr>
              <w:t xml:space="preserve"> – redakcja przepisów </w:t>
            </w:r>
            <w:r w:rsidRPr="001941B0">
              <w:rPr>
                <w:rFonts w:cstheme="minorHAnsi"/>
                <w:sz w:val="20"/>
                <w:szCs w:val="20"/>
              </w:rPr>
              <w:t>będzie omawiana z RCL</w:t>
            </w:r>
            <w:r w:rsidR="00903198" w:rsidRPr="001941B0">
              <w:rPr>
                <w:rFonts w:cstheme="minorHAnsi"/>
                <w:sz w:val="20"/>
                <w:szCs w:val="20"/>
              </w:rPr>
              <w:t>.</w:t>
            </w:r>
            <w:r w:rsidR="00FD047F" w:rsidRPr="001941B0">
              <w:rPr>
                <w:rFonts w:cstheme="minorHAnsi"/>
                <w:sz w:val="20"/>
                <w:szCs w:val="20"/>
              </w:rPr>
              <w:t xml:space="preserve"> </w:t>
            </w:r>
          </w:p>
          <w:p w14:paraId="10C9EBC7" w14:textId="77777777" w:rsidR="000A4CEB" w:rsidRPr="001941B0" w:rsidRDefault="000A4CEB" w:rsidP="006E0CB2">
            <w:pPr>
              <w:autoSpaceDE w:val="0"/>
              <w:autoSpaceDN w:val="0"/>
              <w:adjustRightInd w:val="0"/>
              <w:spacing w:after="0" w:line="240" w:lineRule="auto"/>
              <w:rPr>
                <w:rFonts w:cstheme="minorHAnsi"/>
                <w:sz w:val="20"/>
                <w:szCs w:val="20"/>
              </w:rPr>
            </w:pPr>
          </w:p>
          <w:p w14:paraId="6262A8B5" w14:textId="77777777" w:rsidR="000A4CEB" w:rsidRPr="001941B0" w:rsidRDefault="000A4CEB" w:rsidP="006E0CB2">
            <w:pPr>
              <w:autoSpaceDE w:val="0"/>
              <w:autoSpaceDN w:val="0"/>
              <w:adjustRightInd w:val="0"/>
              <w:spacing w:after="0" w:line="240" w:lineRule="auto"/>
              <w:rPr>
                <w:rFonts w:cstheme="minorHAnsi"/>
                <w:sz w:val="20"/>
                <w:szCs w:val="20"/>
              </w:rPr>
            </w:pPr>
          </w:p>
          <w:p w14:paraId="190EE023" w14:textId="57AC9443" w:rsidR="00306E53" w:rsidRPr="001941B0" w:rsidRDefault="00306E53" w:rsidP="006E0CB2">
            <w:pPr>
              <w:autoSpaceDE w:val="0"/>
              <w:autoSpaceDN w:val="0"/>
              <w:adjustRightInd w:val="0"/>
              <w:spacing w:after="0" w:line="240" w:lineRule="auto"/>
              <w:rPr>
                <w:rFonts w:cstheme="minorHAnsi"/>
                <w:sz w:val="20"/>
                <w:szCs w:val="20"/>
              </w:rPr>
            </w:pPr>
          </w:p>
        </w:tc>
      </w:tr>
      <w:tr w:rsidR="00FC7212" w:rsidRPr="001941B0" w14:paraId="3A951CD0" w14:textId="77777777" w:rsidTr="7139DBB9">
        <w:tc>
          <w:tcPr>
            <w:tcW w:w="1125" w:type="dxa"/>
            <w:shd w:val="clear" w:color="auto" w:fill="FFFFFF" w:themeFill="background1"/>
          </w:tcPr>
          <w:p w14:paraId="6710BFBD"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898B69E" w14:textId="62AB410A"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Centrum e-Zdrowia</w:t>
            </w:r>
          </w:p>
        </w:tc>
        <w:tc>
          <w:tcPr>
            <w:tcW w:w="1949" w:type="dxa"/>
            <w:shd w:val="clear" w:color="auto" w:fill="FFFFFF" w:themeFill="background1"/>
          </w:tcPr>
          <w:p w14:paraId="4BFFA5FA" w14:textId="5F99D6FB"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7 lit. c (w zakresie dodawanego pkt</w:t>
            </w:r>
          </w:p>
          <w:p w14:paraId="65A26FA9" w14:textId="582978C4"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22)</w:t>
            </w:r>
          </w:p>
        </w:tc>
        <w:tc>
          <w:tcPr>
            <w:tcW w:w="5652" w:type="dxa"/>
            <w:shd w:val="clear" w:color="auto" w:fill="FFFFFF" w:themeFill="background1"/>
          </w:tcPr>
          <w:p w14:paraId="23A2A34D" w14:textId="1A64BD03"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Obecnie w ramach tworzonego e-Profilu Pacjenta nie jest przewidziana funkcjonalność udostępniania usługobiorcy, na jego Internetowym Koncie Pacjenta, analiz i raportów tworzonych w ramach przedmiotowego rozwiązania w związku z czym rozważyć należy usunięcie propozycji dodania pkt 22.</w:t>
            </w:r>
          </w:p>
        </w:tc>
        <w:tc>
          <w:tcPr>
            <w:tcW w:w="2855" w:type="dxa"/>
            <w:shd w:val="clear" w:color="auto" w:fill="FFFFFF" w:themeFill="background1"/>
          </w:tcPr>
          <w:p w14:paraId="2D2B11C5" w14:textId="0E8AA4F5" w:rsidR="00306E53" w:rsidRPr="001941B0" w:rsidRDefault="178008DE" w:rsidP="1B5FDD98">
            <w:pPr>
              <w:autoSpaceDE w:val="0"/>
              <w:autoSpaceDN w:val="0"/>
              <w:adjustRightInd w:val="0"/>
              <w:spacing w:after="0" w:line="240" w:lineRule="auto"/>
              <w:rPr>
                <w:b/>
                <w:bCs/>
                <w:sz w:val="20"/>
                <w:szCs w:val="20"/>
              </w:rPr>
            </w:pPr>
            <w:r w:rsidRPr="001941B0">
              <w:rPr>
                <w:b/>
                <w:bCs/>
                <w:sz w:val="20"/>
                <w:szCs w:val="20"/>
              </w:rPr>
              <w:t xml:space="preserve">Uwaga </w:t>
            </w:r>
            <w:r w:rsidR="33DD1EBE" w:rsidRPr="001941B0">
              <w:rPr>
                <w:b/>
                <w:bCs/>
                <w:sz w:val="20"/>
                <w:szCs w:val="20"/>
              </w:rPr>
              <w:t>nie</w:t>
            </w:r>
            <w:r w:rsidRPr="001941B0">
              <w:rPr>
                <w:b/>
                <w:bCs/>
                <w:sz w:val="20"/>
                <w:szCs w:val="20"/>
              </w:rPr>
              <w:t>uwzględniona</w:t>
            </w:r>
            <w:r w:rsidR="76CDB06C" w:rsidRPr="001941B0">
              <w:rPr>
                <w:b/>
                <w:bCs/>
                <w:sz w:val="20"/>
                <w:szCs w:val="20"/>
              </w:rPr>
              <w:t xml:space="preserve"> </w:t>
            </w:r>
          </w:p>
          <w:p w14:paraId="41621171" w14:textId="6AB7C46E" w:rsidR="00306E53" w:rsidRPr="001941B0" w:rsidRDefault="00306E53" w:rsidP="1B5FDD98">
            <w:pPr>
              <w:autoSpaceDE w:val="0"/>
              <w:autoSpaceDN w:val="0"/>
              <w:adjustRightInd w:val="0"/>
              <w:spacing w:after="0" w:line="240" w:lineRule="auto"/>
              <w:rPr>
                <w:b/>
                <w:bCs/>
                <w:sz w:val="20"/>
                <w:szCs w:val="20"/>
              </w:rPr>
            </w:pPr>
          </w:p>
          <w:p w14:paraId="315F92F2" w14:textId="165EA048" w:rsidR="00306E53" w:rsidRPr="001941B0" w:rsidRDefault="76CDB06C" w:rsidP="006E0CB2">
            <w:pPr>
              <w:autoSpaceDE w:val="0"/>
              <w:autoSpaceDN w:val="0"/>
              <w:adjustRightInd w:val="0"/>
              <w:spacing w:after="0" w:line="240" w:lineRule="auto"/>
              <w:rPr>
                <w:sz w:val="20"/>
                <w:szCs w:val="20"/>
              </w:rPr>
            </w:pPr>
            <w:r w:rsidRPr="001941B0">
              <w:rPr>
                <w:sz w:val="20"/>
                <w:szCs w:val="20"/>
              </w:rPr>
              <w:t xml:space="preserve">planowane jest udostepnienie </w:t>
            </w:r>
            <w:r w:rsidR="55478C46" w:rsidRPr="001941B0">
              <w:rPr>
                <w:sz w:val="20"/>
                <w:szCs w:val="20"/>
              </w:rPr>
              <w:t>funkcjonalności</w:t>
            </w:r>
            <w:r w:rsidRPr="001941B0">
              <w:rPr>
                <w:sz w:val="20"/>
                <w:szCs w:val="20"/>
              </w:rPr>
              <w:t xml:space="preserve"> dla </w:t>
            </w:r>
            <w:r w:rsidR="4F6BF8C6" w:rsidRPr="001941B0">
              <w:rPr>
                <w:sz w:val="20"/>
                <w:szCs w:val="20"/>
              </w:rPr>
              <w:t>usługobiorcy</w:t>
            </w:r>
          </w:p>
        </w:tc>
      </w:tr>
      <w:tr w:rsidR="00FC7212" w:rsidRPr="001941B0" w14:paraId="5B8CEEDE" w14:textId="77777777" w:rsidTr="7139DBB9">
        <w:tc>
          <w:tcPr>
            <w:tcW w:w="1125" w:type="dxa"/>
            <w:shd w:val="clear" w:color="auto" w:fill="FFFFFF" w:themeFill="background1"/>
          </w:tcPr>
          <w:p w14:paraId="32AFD732"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EDF6AC3" w14:textId="3B8B48F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Centrum e-Zdrowia</w:t>
            </w:r>
          </w:p>
        </w:tc>
        <w:tc>
          <w:tcPr>
            <w:tcW w:w="1949" w:type="dxa"/>
            <w:shd w:val="clear" w:color="auto" w:fill="FFFFFF" w:themeFill="background1"/>
          </w:tcPr>
          <w:p w14:paraId="7C0F8D42" w14:textId="2DB9B0A8"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5 pkt 9</w:t>
            </w:r>
          </w:p>
        </w:tc>
        <w:tc>
          <w:tcPr>
            <w:tcW w:w="5652" w:type="dxa"/>
            <w:shd w:val="clear" w:color="auto" w:fill="FFFFFF" w:themeFill="background1"/>
          </w:tcPr>
          <w:p w14:paraId="1BF82636" w14:textId="1387239B"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W ocenie Centrum rozważyć należy:</w:t>
            </w:r>
          </w:p>
          <w:p w14:paraId="29180B6A" w14:textId="6EA4B991"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1) modyfikację ust. 1 polegającą na usunięciu sformułowania „i za zgodą usługobiorcy” ponieważ zgodnie z propozycją ust. 3 i 4 kwestia zgód została już tam uregulowana m.in. w ust. 4 wskazano, że do systemu mogą być również przekazywane dane przez inne podmioty niż wymienione w ust. 3 jedynie za zgodą usługobiorcy;</w:t>
            </w:r>
          </w:p>
          <w:p w14:paraId="7BAB15AF" w14:textId="17A748F0"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lastRenderedPageBreak/>
              <w:t>2) doprecyzowanie ust. 4 polegająca na wskazaniu, że inne podmioty będą mogły przekazywać dane do systemu DOM po spełnieniu szczegółowych warunków organizacyjnych i technicznych.</w:t>
            </w:r>
          </w:p>
        </w:tc>
        <w:tc>
          <w:tcPr>
            <w:tcW w:w="2855" w:type="dxa"/>
            <w:shd w:val="clear" w:color="auto" w:fill="FFFFFF" w:themeFill="background1"/>
          </w:tcPr>
          <w:p w14:paraId="6D6BCC63" w14:textId="6748EBBD" w:rsidR="00306E53" w:rsidRPr="001941B0" w:rsidRDefault="00271AED" w:rsidP="006E0CB2">
            <w:pPr>
              <w:autoSpaceDE w:val="0"/>
              <w:autoSpaceDN w:val="0"/>
              <w:adjustRightInd w:val="0"/>
              <w:spacing w:after="0" w:line="240" w:lineRule="auto"/>
              <w:rPr>
                <w:rFonts w:cstheme="minorHAnsi"/>
                <w:b/>
                <w:sz w:val="20"/>
                <w:szCs w:val="20"/>
              </w:rPr>
            </w:pPr>
            <w:r w:rsidRPr="001941B0">
              <w:rPr>
                <w:b/>
                <w:sz w:val="20"/>
                <w:szCs w:val="20"/>
              </w:rPr>
              <w:lastRenderedPageBreak/>
              <w:t>Uwaga uwzględniona</w:t>
            </w:r>
          </w:p>
        </w:tc>
      </w:tr>
      <w:tr w:rsidR="00FC7212" w:rsidRPr="001941B0" w14:paraId="5724A31E" w14:textId="77777777" w:rsidTr="7139DBB9">
        <w:trPr>
          <w:trHeight w:val="300"/>
        </w:trPr>
        <w:tc>
          <w:tcPr>
            <w:tcW w:w="1125" w:type="dxa"/>
            <w:shd w:val="clear" w:color="auto" w:fill="FFFFFF" w:themeFill="background1"/>
          </w:tcPr>
          <w:p w14:paraId="78A2DC1E" w14:textId="112265E0"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5BAAEF8" w14:textId="03D089DD" w:rsidR="00306E53" w:rsidRPr="001941B0" w:rsidRDefault="00306E53" w:rsidP="006E0CB2">
            <w:pPr>
              <w:spacing w:after="0" w:line="240" w:lineRule="auto"/>
              <w:rPr>
                <w:rFonts w:cs="Calibri"/>
                <w:sz w:val="20"/>
                <w:szCs w:val="20"/>
              </w:rPr>
            </w:pPr>
            <w:r w:rsidRPr="001941B0">
              <w:rPr>
                <w:rFonts w:cs="Calibri"/>
                <w:sz w:val="20"/>
                <w:szCs w:val="20"/>
              </w:rPr>
              <w:t>Centrum e-Zdrowia</w:t>
            </w:r>
          </w:p>
        </w:tc>
        <w:tc>
          <w:tcPr>
            <w:tcW w:w="1949" w:type="dxa"/>
            <w:shd w:val="clear" w:color="auto" w:fill="FFFFFF" w:themeFill="background1"/>
          </w:tcPr>
          <w:p w14:paraId="3B23E05A" w14:textId="7C3776FE" w:rsidR="00306E53" w:rsidRPr="001941B0" w:rsidRDefault="00306E53" w:rsidP="006E0CB2">
            <w:pPr>
              <w:spacing w:after="0" w:line="240" w:lineRule="auto"/>
              <w:rPr>
                <w:rFonts w:cs="Calibri"/>
                <w:sz w:val="20"/>
                <w:szCs w:val="20"/>
              </w:rPr>
            </w:pPr>
            <w:r w:rsidRPr="001941B0">
              <w:rPr>
                <w:rFonts w:cs="Calibri"/>
                <w:sz w:val="20"/>
                <w:szCs w:val="20"/>
              </w:rPr>
              <w:t xml:space="preserve">art. 5 pkt 9 </w:t>
            </w:r>
          </w:p>
        </w:tc>
        <w:tc>
          <w:tcPr>
            <w:tcW w:w="5652" w:type="dxa"/>
            <w:shd w:val="clear" w:color="auto" w:fill="FFFFFF" w:themeFill="background1"/>
          </w:tcPr>
          <w:p w14:paraId="01A8FFE8" w14:textId="5808CA39" w:rsidR="00306E53" w:rsidRPr="001941B0" w:rsidRDefault="00306E53" w:rsidP="006E0CB2">
            <w:pPr>
              <w:spacing w:after="0" w:line="240" w:lineRule="auto"/>
              <w:rPr>
                <w:sz w:val="20"/>
                <w:szCs w:val="20"/>
              </w:rPr>
            </w:pPr>
            <w:r w:rsidRPr="001941B0">
              <w:rPr>
                <w:rFonts w:eastAsia="Aptos" w:cs="Aptos"/>
                <w:sz w:val="20"/>
                <w:szCs w:val="20"/>
              </w:rPr>
              <w:t xml:space="preserve">1) Odnosząc się do propozycji brzmienia ust. 2 rozważyć należy jego modyfikację polegającą na wskazaniu, że wykaz świadczeń opieki zdrowotnej, w ramach których możliwe jest przeprowadzanie konsultacji medycznych w systemie e-Konsylium będzie określane również pod kątem uwarunkowań technicznoorganizacyjnych. Określając ten wykaz, minister uwzględnia, w szczególności: </w:t>
            </w:r>
            <w:r w:rsidRPr="001941B0">
              <w:rPr>
                <w:sz w:val="20"/>
                <w:szCs w:val="20"/>
              </w:rPr>
              <w:br/>
            </w:r>
            <w:r w:rsidRPr="001941B0">
              <w:rPr>
                <w:rFonts w:eastAsia="Aptos" w:cs="Aptos"/>
                <w:sz w:val="20"/>
                <w:szCs w:val="20"/>
              </w:rPr>
              <w:t>a) uwarunkowania techniczne i organizacyjne funkcjonowania systemu e-Konsylium, w tym jego możliwości wydajnościowe i skalowalność, poziom dostępności oraz przepustowość, zapewniające ciągłość realizacji konsultacji,</w:t>
            </w:r>
            <w:r w:rsidRPr="001941B0">
              <w:rPr>
                <w:sz w:val="20"/>
                <w:szCs w:val="20"/>
              </w:rPr>
              <w:br/>
            </w:r>
            <w:r w:rsidRPr="001941B0">
              <w:rPr>
                <w:rFonts w:eastAsia="Aptos" w:cs="Aptos"/>
                <w:sz w:val="20"/>
                <w:szCs w:val="20"/>
              </w:rPr>
              <w:t xml:space="preserve"> b) standardy jakościowe i użytkowe dotyczące realizacji konsultacji, w tym wymagania w zakresie interoperacyjności, niezawodności i czasu odpowiedzi systemu,</w:t>
            </w:r>
            <w:r w:rsidRPr="001941B0">
              <w:rPr>
                <w:sz w:val="20"/>
                <w:szCs w:val="20"/>
              </w:rPr>
              <w:br/>
            </w:r>
            <w:r w:rsidRPr="001941B0">
              <w:rPr>
                <w:rFonts w:eastAsia="Aptos" w:cs="Aptos"/>
                <w:sz w:val="20"/>
                <w:szCs w:val="20"/>
              </w:rPr>
              <w:t xml:space="preserve"> c) konieczność zapewnienia bezpieczeństwa, poufności i integralności danych przetwarzanych w związku z przeprowadzaniem konsultacji, w tym w zakresie uwierzytelniania, autoryzacji, rejestrowania </w:t>
            </w:r>
            <w:r w:rsidRPr="001941B0">
              <w:rPr>
                <w:sz w:val="20"/>
                <w:szCs w:val="20"/>
              </w:rPr>
              <w:t>zdarzeń oraz rozliczalności,</w:t>
            </w:r>
            <w:r w:rsidRPr="001941B0">
              <w:rPr>
                <w:sz w:val="20"/>
                <w:szCs w:val="20"/>
              </w:rPr>
              <w:br/>
              <w:t>d) potrzebę zagwarantowania dostępności świadczeń opieki zdrowotnej oraz specyfikę świadczeń, których realizacja może być prowadzona przy użyciu systemów teleinformatycznych lub systemów łączności, bez pogorszenia jakości i bezpieczeństwa udzielania świadczeń;</w:t>
            </w:r>
          </w:p>
          <w:p w14:paraId="6CF418CD" w14:textId="22FD1B74" w:rsidR="00306E53" w:rsidRPr="001941B0" w:rsidRDefault="00306E53" w:rsidP="006E0CB2">
            <w:pPr>
              <w:spacing w:after="0" w:line="240" w:lineRule="auto"/>
              <w:rPr>
                <w:sz w:val="20"/>
                <w:szCs w:val="20"/>
              </w:rPr>
            </w:pPr>
          </w:p>
          <w:p w14:paraId="18A19559" w14:textId="43D39258" w:rsidR="00306E53" w:rsidRPr="001941B0" w:rsidRDefault="00306E53" w:rsidP="006E0CB2">
            <w:pPr>
              <w:spacing w:after="0" w:line="240" w:lineRule="auto"/>
              <w:rPr>
                <w:sz w:val="20"/>
                <w:szCs w:val="20"/>
              </w:rPr>
            </w:pPr>
            <w:r w:rsidRPr="001941B0">
              <w:rPr>
                <w:sz w:val="20"/>
                <w:szCs w:val="20"/>
              </w:rPr>
              <w:t>2) Z uwagi na fakt, że nagrywanie dźwięku przeprowadzanej konsultacji w systemie e-Konsylium będzie fakultatywne a nie obligatoryjne zasadne wydaje się wprowadzenie w ust. 4 odpowiednich zmian prawnych;</w:t>
            </w:r>
          </w:p>
          <w:p w14:paraId="08EF5ADB" w14:textId="39BA5E0E" w:rsidR="00306E53" w:rsidRPr="001941B0" w:rsidRDefault="00306E53" w:rsidP="006E0CB2">
            <w:pPr>
              <w:spacing w:after="0" w:line="240" w:lineRule="auto"/>
              <w:rPr>
                <w:sz w:val="20"/>
                <w:szCs w:val="20"/>
              </w:rPr>
            </w:pPr>
            <w:r w:rsidRPr="001941B0">
              <w:rPr>
                <w:sz w:val="20"/>
                <w:szCs w:val="20"/>
              </w:rPr>
              <w:t>3) Rozważyć należy w ust. 5 pkt 3 wskazanie, że inne dane medycznych przetwarzanych w systemie e-Konsylium będą w nim przechowywane jedynie przez okres 6 miesięcy licząc od dnia wystawienia opisu konsultacji medycznej.</w:t>
            </w:r>
          </w:p>
        </w:tc>
        <w:tc>
          <w:tcPr>
            <w:tcW w:w="2855" w:type="dxa"/>
            <w:shd w:val="clear" w:color="auto" w:fill="FFFFFF" w:themeFill="background1"/>
          </w:tcPr>
          <w:p w14:paraId="5EE24922" w14:textId="77777777" w:rsidR="00306E53" w:rsidRPr="001941B0" w:rsidRDefault="000869F4" w:rsidP="006E0CB2">
            <w:pPr>
              <w:spacing w:after="0" w:line="240" w:lineRule="auto"/>
              <w:rPr>
                <w:b/>
                <w:bCs/>
                <w:sz w:val="20"/>
                <w:szCs w:val="20"/>
              </w:rPr>
            </w:pPr>
            <w:r w:rsidRPr="001941B0">
              <w:rPr>
                <w:b/>
                <w:sz w:val="20"/>
                <w:szCs w:val="20"/>
              </w:rPr>
              <w:t>Uwaga uwzględniona</w:t>
            </w:r>
          </w:p>
          <w:p w14:paraId="20CD87B5" w14:textId="77777777" w:rsidR="00A20AEB" w:rsidRPr="001941B0" w:rsidRDefault="00A20AEB" w:rsidP="006E0CB2">
            <w:pPr>
              <w:spacing w:after="0" w:line="240" w:lineRule="auto"/>
              <w:rPr>
                <w:b/>
                <w:bCs/>
                <w:sz w:val="20"/>
                <w:szCs w:val="20"/>
              </w:rPr>
            </w:pPr>
          </w:p>
          <w:p w14:paraId="07FD6300" w14:textId="12F96F75" w:rsidR="00306E53" w:rsidRPr="001941B0" w:rsidRDefault="00306E53" w:rsidP="006E0CB2">
            <w:pPr>
              <w:spacing w:after="0" w:line="240" w:lineRule="auto"/>
              <w:rPr>
                <w:sz w:val="20"/>
                <w:szCs w:val="20"/>
              </w:rPr>
            </w:pPr>
          </w:p>
        </w:tc>
      </w:tr>
      <w:tr w:rsidR="00FC7212" w:rsidRPr="001941B0" w14:paraId="4B50D915" w14:textId="77777777" w:rsidTr="7139DBB9">
        <w:trPr>
          <w:trHeight w:val="300"/>
        </w:trPr>
        <w:tc>
          <w:tcPr>
            <w:tcW w:w="1125" w:type="dxa"/>
            <w:shd w:val="clear" w:color="auto" w:fill="FFFFFF" w:themeFill="background1"/>
          </w:tcPr>
          <w:p w14:paraId="1FEACB9B" w14:textId="5C999FF0"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9540573" w14:textId="70EF90CD" w:rsidR="00306E53" w:rsidRPr="001941B0" w:rsidRDefault="00306E53" w:rsidP="006E0CB2">
            <w:pPr>
              <w:spacing w:after="0" w:line="240" w:lineRule="auto"/>
              <w:rPr>
                <w:rFonts w:cs="Calibri"/>
                <w:sz w:val="20"/>
                <w:szCs w:val="20"/>
              </w:rPr>
            </w:pPr>
            <w:r w:rsidRPr="001941B0">
              <w:rPr>
                <w:rFonts w:cs="Calibri"/>
                <w:sz w:val="20"/>
                <w:szCs w:val="20"/>
              </w:rPr>
              <w:t>Centrum e-Zdrowia</w:t>
            </w:r>
          </w:p>
        </w:tc>
        <w:tc>
          <w:tcPr>
            <w:tcW w:w="1949" w:type="dxa"/>
            <w:shd w:val="clear" w:color="auto" w:fill="FFFFFF" w:themeFill="background1"/>
          </w:tcPr>
          <w:p w14:paraId="324C5F98" w14:textId="13FD9859" w:rsidR="00306E53" w:rsidRPr="001941B0" w:rsidRDefault="00306E53" w:rsidP="006E0CB2">
            <w:pPr>
              <w:spacing w:after="0" w:line="240" w:lineRule="auto"/>
              <w:rPr>
                <w:rFonts w:cs="Calibri"/>
                <w:sz w:val="20"/>
                <w:szCs w:val="20"/>
              </w:rPr>
            </w:pPr>
            <w:r w:rsidRPr="001941B0">
              <w:rPr>
                <w:rFonts w:cs="Calibri"/>
                <w:sz w:val="20"/>
                <w:szCs w:val="20"/>
              </w:rPr>
              <w:t xml:space="preserve">art. 5 pkt 9 </w:t>
            </w:r>
          </w:p>
        </w:tc>
        <w:tc>
          <w:tcPr>
            <w:tcW w:w="5652" w:type="dxa"/>
            <w:shd w:val="clear" w:color="auto" w:fill="FFFFFF" w:themeFill="background1"/>
          </w:tcPr>
          <w:p w14:paraId="4FF78125" w14:textId="6E6518C7" w:rsidR="00306E53" w:rsidRPr="001941B0" w:rsidRDefault="00306E53" w:rsidP="006E0CB2">
            <w:pPr>
              <w:spacing w:after="0" w:line="240" w:lineRule="auto"/>
              <w:rPr>
                <w:rFonts w:cs="Calibri"/>
                <w:sz w:val="20"/>
                <w:szCs w:val="20"/>
              </w:rPr>
            </w:pPr>
            <w:r w:rsidRPr="001941B0">
              <w:rPr>
                <w:rFonts w:cs="Calibri"/>
                <w:sz w:val="20"/>
                <w:szCs w:val="20"/>
              </w:rPr>
              <w:t>Rozważyć należy uzupełnienie przepisu o wskazanie, że w SIM mogą być również przechowywane inne dokumenty medyczne o ile wskazane to zostało w odrębnych przepisach prawnych.</w:t>
            </w:r>
          </w:p>
        </w:tc>
        <w:tc>
          <w:tcPr>
            <w:tcW w:w="2855" w:type="dxa"/>
            <w:shd w:val="clear" w:color="auto" w:fill="FFFFFF" w:themeFill="background1"/>
          </w:tcPr>
          <w:p w14:paraId="5FA1BAE3" w14:textId="77777777" w:rsidR="00306E53" w:rsidRPr="001941B0" w:rsidRDefault="0079657A" w:rsidP="006E0CB2">
            <w:pPr>
              <w:spacing w:after="0" w:line="240" w:lineRule="auto"/>
              <w:rPr>
                <w:b/>
                <w:sz w:val="20"/>
                <w:szCs w:val="20"/>
              </w:rPr>
            </w:pPr>
            <w:r w:rsidRPr="001941B0">
              <w:rPr>
                <w:b/>
                <w:sz w:val="20"/>
                <w:szCs w:val="20"/>
              </w:rPr>
              <w:t xml:space="preserve">Uwaga </w:t>
            </w:r>
            <w:r w:rsidR="00DD4595" w:rsidRPr="001941B0">
              <w:rPr>
                <w:b/>
                <w:sz w:val="20"/>
                <w:szCs w:val="20"/>
              </w:rPr>
              <w:t>nie</w:t>
            </w:r>
            <w:r w:rsidRPr="001941B0">
              <w:rPr>
                <w:b/>
                <w:sz w:val="20"/>
                <w:szCs w:val="20"/>
              </w:rPr>
              <w:t>uwzględniona</w:t>
            </w:r>
          </w:p>
          <w:p w14:paraId="1CEB6760" w14:textId="6FDA83A9" w:rsidR="00306E53" w:rsidRPr="001941B0" w:rsidRDefault="00EA29C5" w:rsidP="006E0CB2">
            <w:pPr>
              <w:spacing w:after="0" w:line="240" w:lineRule="auto"/>
              <w:rPr>
                <w:sz w:val="20"/>
                <w:szCs w:val="20"/>
              </w:rPr>
            </w:pPr>
            <w:r w:rsidRPr="001941B0">
              <w:rPr>
                <w:bCs/>
                <w:sz w:val="20"/>
                <w:szCs w:val="20"/>
              </w:rPr>
              <w:t>Przepis ten został usunięty na podstawie uwagi RCL.</w:t>
            </w:r>
            <w:r w:rsidR="00105299" w:rsidRPr="001941B0">
              <w:rPr>
                <w:bCs/>
                <w:sz w:val="20"/>
                <w:szCs w:val="20"/>
              </w:rPr>
              <w:t xml:space="preserve"> </w:t>
            </w:r>
          </w:p>
        </w:tc>
      </w:tr>
      <w:tr w:rsidR="00FC7212" w:rsidRPr="001941B0" w14:paraId="29976E53" w14:textId="77777777" w:rsidTr="7139DBB9">
        <w:trPr>
          <w:trHeight w:val="300"/>
        </w:trPr>
        <w:tc>
          <w:tcPr>
            <w:tcW w:w="1125" w:type="dxa"/>
            <w:shd w:val="clear" w:color="auto" w:fill="FFFFFF" w:themeFill="background1"/>
          </w:tcPr>
          <w:p w14:paraId="72218729" w14:textId="473929FA"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E32BC0D" w14:textId="62FC65E8" w:rsidR="00306E53" w:rsidRPr="001941B0" w:rsidRDefault="00306E53" w:rsidP="006E0CB2">
            <w:pPr>
              <w:spacing w:after="0" w:line="240" w:lineRule="auto"/>
              <w:rPr>
                <w:rFonts w:cs="Calibri"/>
                <w:sz w:val="20"/>
                <w:szCs w:val="20"/>
              </w:rPr>
            </w:pPr>
            <w:r w:rsidRPr="001941B0">
              <w:rPr>
                <w:rFonts w:cs="Calibri"/>
                <w:sz w:val="20"/>
                <w:szCs w:val="20"/>
              </w:rPr>
              <w:t>Centrum e-Zdrowia</w:t>
            </w:r>
          </w:p>
        </w:tc>
        <w:tc>
          <w:tcPr>
            <w:tcW w:w="1949" w:type="dxa"/>
            <w:shd w:val="clear" w:color="auto" w:fill="FFFFFF" w:themeFill="background1"/>
          </w:tcPr>
          <w:p w14:paraId="3D046036" w14:textId="249070C5" w:rsidR="00306E53" w:rsidRPr="001941B0" w:rsidRDefault="00306E53" w:rsidP="006E0CB2">
            <w:pPr>
              <w:spacing w:after="0" w:line="240" w:lineRule="auto"/>
              <w:rPr>
                <w:rFonts w:cs="Calibri"/>
                <w:sz w:val="20"/>
                <w:szCs w:val="20"/>
              </w:rPr>
            </w:pPr>
            <w:r w:rsidRPr="001941B0">
              <w:rPr>
                <w:rFonts w:cs="Calibri"/>
                <w:sz w:val="20"/>
                <w:szCs w:val="20"/>
              </w:rPr>
              <w:t xml:space="preserve">Art. 5 pkt 17 </w:t>
            </w:r>
          </w:p>
        </w:tc>
        <w:tc>
          <w:tcPr>
            <w:tcW w:w="5652" w:type="dxa"/>
            <w:shd w:val="clear" w:color="auto" w:fill="FFFFFF" w:themeFill="background1"/>
          </w:tcPr>
          <w:p w14:paraId="0E0FA6E5" w14:textId="5D3E5871" w:rsidR="00306E53" w:rsidRPr="001941B0" w:rsidRDefault="00306E53" w:rsidP="006E0CB2">
            <w:pPr>
              <w:spacing w:after="0" w:line="240" w:lineRule="auto"/>
              <w:rPr>
                <w:rFonts w:cs="Calibri"/>
                <w:sz w:val="20"/>
                <w:szCs w:val="20"/>
              </w:rPr>
            </w:pPr>
            <w:r w:rsidRPr="001941B0">
              <w:rPr>
                <w:rFonts w:cs="Calibri"/>
                <w:sz w:val="20"/>
                <w:szCs w:val="20"/>
              </w:rPr>
              <w:t>Należy rozważyć możliwość ujęcia hurtowni danych w ramach SIM lub systemu P1.</w:t>
            </w:r>
          </w:p>
        </w:tc>
        <w:tc>
          <w:tcPr>
            <w:tcW w:w="2855" w:type="dxa"/>
            <w:shd w:val="clear" w:color="auto" w:fill="FFFFFF" w:themeFill="background1"/>
          </w:tcPr>
          <w:p w14:paraId="3A889E84" w14:textId="17360BB9" w:rsidR="00306E53" w:rsidRPr="001941B0" w:rsidRDefault="6EFC66E0" w:rsidP="1B5FDD98">
            <w:pPr>
              <w:spacing w:after="0" w:line="240" w:lineRule="auto"/>
              <w:rPr>
                <w:b/>
                <w:bCs/>
                <w:sz w:val="20"/>
                <w:szCs w:val="20"/>
              </w:rPr>
            </w:pPr>
            <w:r w:rsidRPr="001941B0">
              <w:rPr>
                <w:b/>
                <w:bCs/>
                <w:sz w:val="20"/>
                <w:szCs w:val="20"/>
              </w:rPr>
              <w:t xml:space="preserve"> Uwaga uwzględniona</w:t>
            </w:r>
          </w:p>
          <w:p w14:paraId="18E6B8F6" w14:textId="576CEA54" w:rsidR="00306E53" w:rsidRPr="001941B0" w:rsidRDefault="00306E53" w:rsidP="006E0CB2">
            <w:pPr>
              <w:spacing w:after="0" w:line="240" w:lineRule="auto"/>
              <w:rPr>
                <w:sz w:val="20"/>
                <w:szCs w:val="20"/>
              </w:rPr>
            </w:pPr>
          </w:p>
        </w:tc>
      </w:tr>
      <w:tr w:rsidR="00FC7212" w:rsidRPr="001941B0" w14:paraId="1C3CAC22" w14:textId="77777777" w:rsidTr="7139DBB9">
        <w:trPr>
          <w:trHeight w:val="300"/>
        </w:trPr>
        <w:tc>
          <w:tcPr>
            <w:tcW w:w="1125" w:type="dxa"/>
            <w:shd w:val="clear" w:color="auto" w:fill="FFFFFF" w:themeFill="background1"/>
          </w:tcPr>
          <w:p w14:paraId="402243E6" w14:textId="629F7970" w:rsidR="00306E53" w:rsidRPr="001941B0" w:rsidRDefault="00306E53" w:rsidP="0044265C">
            <w:pPr>
              <w:pStyle w:val="Akapitzlist"/>
              <w:numPr>
                <w:ilvl w:val="0"/>
                <w:numId w:val="3"/>
              </w:numPr>
              <w:autoSpaceDE w:val="0"/>
              <w:autoSpaceDN w:val="0"/>
              <w:adjustRightInd w:val="0"/>
              <w:spacing w:after="0" w:line="240" w:lineRule="auto"/>
              <w:ind w:left="0" w:firstLine="0"/>
              <w:jc w:val="right"/>
              <w:rPr>
                <w:rFonts w:eastAsia="Times New Roman"/>
                <w:sz w:val="20"/>
                <w:szCs w:val="20"/>
                <w:lang w:eastAsia="pl-PL"/>
              </w:rPr>
            </w:pPr>
          </w:p>
        </w:tc>
        <w:tc>
          <w:tcPr>
            <w:tcW w:w="2735" w:type="dxa"/>
            <w:shd w:val="clear" w:color="auto" w:fill="FFFFFF" w:themeFill="background1"/>
          </w:tcPr>
          <w:p w14:paraId="43B8FA46" w14:textId="13B993B9" w:rsidR="00306E53" w:rsidRPr="001941B0" w:rsidRDefault="00306E53" w:rsidP="006E0CB2">
            <w:pPr>
              <w:spacing w:after="0" w:line="240" w:lineRule="auto"/>
              <w:rPr>
                <w:rFonts w:cs="Calibri"/>
                <w:sz w:val="20"/>
                <w:szCs w:val="20"/>
              </w:rPr>
            </w:pPr>
            <w:r w:rsidRPr="001941B0">
              <w:rPr>
                <w:rFonts w:cs="Calibri"/>
                <w:sz w:val="20"/>
                <w:szCs w:val="20"/>
              </w:rPr>
              <w:t>Federacja Związków Pracodawców Ochrony Zdrowia „Porozumienie Zielonogórskie”</w:t>
            </w:r>
          </w:p>
          <w:p w14:paraId="4E7614F7" w14:textId="23B4505E" w:rsidR="00306E53" w:rsidRPr="001941B0" w:rsidRDefault="00306E53" w:rsidP="006E0CB2">
            <w:pPr>
              <w:spacing w:after="0" w:line="240" w:lineRule="auto"/>
              <w:rPr>
                <w:rFonts w:cs="Calibri"/>
                <w:sz w:val="20"/>
                <w:szCs w:val="20"/>
              </w:rPr>
            </w:pPr>
          </w:p>
        </w:tc>
        <w:tc>
          <w:tcPr>
            <w:tcW w:w="1949" w:type="dxa"/>
            <w:shd w:val="clear" w:color="auto" w:fill="FFFFFF" w:themeFill="background1"/>
          </w:tcPr>
          <w:p w14:paraId="4CE767EE" w14:textId="3434FA6E" w:rsidR="00306E53" w:rsidRPr="001941B0" w:rsidRDefault="00306E53" w:rsidP="006E0CB2">
            <w:pPr>
              <w:spacing w:after="0" w:line="240" w:lineRule="auto"/>
              <w:rPr>
                <w:rFonts w:cs="Calibri"/>
                <w:sz w:val="20"/>
                <w:szCs w:val="20"/>
              </w:rPr>
            </w:pPr>
            <w:r w:rsidRPr="001941B0">
              <w:rPr>
                <w:rFonts w:cs="Calibri"/>
                <w:sz w:val="20"/>
                <w:szCs w:val="20"/>
              </w:rPr>
              <w:t>Art 5</w:t>
            </w:r>
          </w:p>
        </w:tc>
        <w:tc>
          <w:tcPr>
            <w:tcW w:w="5652" w:type="dxa"/>
            <w:shd w:val="clear" w:color="auto" w:fill="FFFFFF" w:themeFill="background1"/>
          </w:tcPr>
          <w:p w14:paraId="7A9E70E0" w14:textId="153EA113" w:rsidR="00306E53" w:rsidRPr="001941B0" w:rsidRDefault="00306E53" w:rsidP="006E0CB2">
            <w:pPr>
              <w:spacing w:after="0" w:line="240" w:lineRule="auto"/>
              <w:ind w:left="-15" w:right="35"/>
              <w:jc w:val="both"/>
              <w:rPr>
                <w:sz w:val="20"/>
                <w:szCs w:val="20"/>
              </w:rPr>
            </w:pPr>
            <w:r w:rsidRPr="001941B0">
              <w:rPr>
                <w:rFonts w:eastAsia="Times New Roman" w:cs="Times New Roman"/>
                <w:color w:val="000000" w:themeColor="text1"/>
                <w:sz w:val="20"/>
                <w:szCs w:val="20"/>
              </w:rPr>
              <w:t xml:space="preserve">Art. 5 należy uzupełnić o zapisy pozwalające jednoznacznie pobieranie przez Centrum e-Zdrowia danych o podleganiu programom profilaktycznym przez pacjentów w celu pozyskiwania tej informacji na potrzeby tworzenia dokumentów typu Indywidualny Plan Zdrowotny w ramach bilansu zdrowia osoby dorosłej Moje Zdrowie. </w:t>
            </w:r>
            <w:r w:rsidRPr="001941B0">
              <w:rPr>
                <w:rFonts w:eastAsia="Aptos" w:cs="Aptos"/>
                <w:sz w:val="20"/>
                <w:szCs w:val="20"/>
              </w:rPr>
              <w:t xml:space="preserve"> </w:t>
            </w:r>
          </w:p>
        </w:tc>
        <w:tc>
          <w:tcPr>
            <w:tcW w:w="2855" w:type="dxa"/>
            <w:shd w:val="clear" w:color="auto" w:fill="FFFFFF" w:themeFill="background1"/>
          </w:tcPr>
          <w:p w14:paraId="78B26C70" w14:textId="6E39FEE7" w:rsidR="00824B57" w:rsidRPr="001941B0" w:rsidRDefault="1062C604" w:rsidP="006E0CB2">
            <w:pPr>
              <w:spacing w:after="0" w:line="240" w:lineRule="auto"/>
              <w:rPr>
                <w:sz w:val="20"/>
                <w:szCs w:val="20"/>
              </w:rPr>
            </w:pPr>
            <w:r w:rsidRPr="001941B0">
              <w:rPr>
                <w:b/>
                <w:sz w:val="20"/>
                <w:szCs w:val="20"/>
              </w:rPr>
              <w:t>Uwaga uwzględniona</w:t>
            </w:r>
          </w:p>
        </w:tc>
      </w:tr>
      <w:tr w:rsidR="00FC7212" w:rsidRPr="001941B0" w14:paraId="3D601429" w14:textId="77777777" w:rsidTr="7139DBB9">
        <w:tc>
          <w:tcPr>
            <w:tcW w:w="1125" w:type="dxa"/>
            <w:shd w:val="clear" w:color="auto" w:fill="FFFFFF" w:themeFill="background1"/>
          </w:tcPr>
          <w:p w14:paraId="2BFEFC04"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016EEE1" w14:textId="30394554" w:rsidR="00306E53" w:rsidRPr="001941B0" w:rsidRDefault="004F2C57" w:rsidP="006E0CB2">
            <w:pPr>
              <w:autoSpaceDE w:val="0"/>
              <w:autoSpaceDN w:val="0"/>
              <w:adjustRightInd w:val="0"/>
              <w:spacing w:after="0" w:line="240" w:lineRule="auto"/>
              <w:rPr>
                <w:rFonts w:cs="Calibri"/>
                <w:bCs/>
                <w:sz w:val="20"/>
                <w:szCs w:val="20"/>
              </w:rPr>
            </w:pPr>
            <w:r w:rsidRPr="001941B0">
              <w:rPr>
                <w:rFonts w:cs="Calibri"/>
                <w:bCs/>
                <w:sz w:val="20"/>
                <w:szCs w:val="20"/>
              </w:rPr>
              <w:t>Osoba fizyczna</w:t>
            </w:r>
          </w:p>
        </w:tc>
        <w:tc>
          <w:tcPr>
            <w:tcW w:w="1949" w:type="dxa"/>
            <w:shd w:val="clear" w:color="auto" w:fill="FFFFFF" w:themeFill="background1"/>
          </w:tcPr>
          <w:p w14:paraId="3AD72E3E" w14:textId="5442F8C7" w:rsidR="00306E53" w:rsidRPr="001941B0" w:rsidRDefault="00743E39" w:rsidP="006E0CB2">
            <w:pPr>
              <w:autoSpaceDE w:val="0"/>
              <w:autoSpaceDN w:val="0"/>
              <w:adjustRightInd w:val="0"/>
              <w:spacing w:after="0" w:line="240" w:lineRule="auto"/>
              <w:rPr>
                <w:rFonts w:cs="Calibri"/>
                <w:sz w:val="20"/>
                <w:szCs w:val="20"/>
              </w:rPr>
            </w:pPr>
            <w:r w:rsidRPr="001941B0">
              <w:rPr>
                <w:rFonts w:cs="Calibri"/>
                <w:sz w:val="20"/>
                <w:szCs w:val="20"/>
              </w:rPr>
              <w:t xml:space="preserve">art. 5 </w:t>
            </w:r>
          </w:p>
        </w:tc>
        <w:tc>
          <w:tcPr>
            <w:tcW w:w="5652" w:type="dxa"/>
            <w:shd w:val="clear" w:color="auto" w:fill="FFFFFF" w:themeFill="background1"/>
          </w:tcPr>
          <w:p w14:paraId="6C15C7C7" w14:textId="72DC958D" w:rsidR="00306E53" w:rsidRPr="001941B0" w:rsidRDefault="00A24CE6" w:rsidP="006E0CB2">
            <w:pPr>
              <w:autoSpaceDE w:val="0"/>
              <w:autoSpaceDN w:val="0"/>
              <w:adjustRightInd w:val="0"/>
              <w:spacing w:after="0" w:line="240" w:lineRule="auto"/>
              <w:rPr>
                <w:rFonts w:cs="Calibri"/>
                <w:sz w:val="20"/>
                <w:szCs w:val="20"/>
              </w:rPr>
            </w:pPr>
            <w:r w:rsidRPr="001941B0">
              <w:rPr>
                <w:rFonts w:cs="Calibri"/>
                <w:sz w:val="20"/>
                <w:szCs w:val="20"/>
              </w:rPr>
              <w:t xml:space="preserve">wnoszę o dodanie do projektu ustawy o zmianie niektórych ustaw w związku z rozwojem </w:t>
            </w:r>
            <w:r w:rsidRPr="001941B0">
              <w:rPr>
                <w:rFonts w:cs="Calibri"/>
                <w:sz w:val="20"/>
                <w:szCs w:val="20"/>
              </w:rPr>
              <w:br/>
              <w:t>usług e-zdrowia (UPRO5) zapisów rozszerzających dostęp do elektronicznej dokumentacji medycznej lekarzom wykonującym zadania:</w:t>
            </w:r>
            <w:r w:rsidRPr="001941B0">
              <w:rPr>
                <w:rFonts w:cs="Calibri"/>
                <w:sz w:val="20"/>
                <w:szCs w:val="20"/>
              </w:rPr>
              <w:br/>
              <w:t xml:space="preserve">1) lekarza sądowego w trakcie czynności określonych w art. 2 ust. 2 ustawy o lekarzu sądowym, </w:t>
            </w:r>
            <w:r w:rsidRPr="001941B0">
              <w:rPr>
                <w:rFonts w:cs="Calibri"/>
                <w:sz w:val="20"/>
                <w:szCs w:val="20"/>
              </w:rPr>
              <w:br/>
              <w:t>2) lekarza uprawnionego do badań kierowców w trakcie czynności określonych w art. 75 ust. 1 ustawy o kierujących pojazdami,</w:t>
            </w:r>
            <w:r w:rsidRPr="001941B0">
              <w:rPr>
                <w:rFonts w:cs="Calibri"/>
                <w:sz w:val="20"/>
                <w:szCs w:val="20"/>
              </w:rPr>
              <w:br/>
              <w:t>3) lekarza uprawnionego do badań profilaktycznych pracowników w trakcie czynności określonych w art. 6 ust. 1 pkt 2 ustawy o Służbie Medycyny Pracy,</w:t>
            </w:r>
            <w:r w:rsidRPr="001941B0">
              <w:rPr>
                <w:rFonts w:cs="Calibri"/>
                <w:sz w:val="20"/>
                <w:szCs w:val="20"/>
              </w:rPr>
              <w:br/>
              <w:t>4) orzecznika lotniczo-lekarskiego w w trakcie czynności określonych w art. 106 ustawy Prawo lotnicze</w:t>
            </w:r>
            <w:r w:rsidRPr="001941B0">
              <w:rPr>
                <w:rFonts w:cs="Calibri"/>
                <w:sz w:val="20"/>
                <w:szCs w:val="20"/>
              </w:rPr>
              <w:br/>
            </w:r>
            <w:r w:rsidRPr="001941B0">
              <w:rPr>
                <w:rFonts w:cs="Calibri"/>
                <w:sz w:val="20"/>
                <w:szCs w:val="20"/>
              </w:rPr>
              <w:br/>
              <w:t>poprzez dodanie do art. 5 projektu ustawy punktu 18:</w:t>
            </w:r>
            <w:r w:rsidRPr="001941B0">
              <w:rPr>
                <w:rFonts w:cs="Calibri"/>
                <w:sz w:val="20"/>
                <w:szCs w:val="20"/>
              </w:rPr>
              <w:br/>
              <w:t xml:space="preserve">"do art. 35 ust. 1 ustawy o systemie informacji w ochronie zdrowia dodaje się punkt 6: </w:t>
            </w:r>
            <w:r w:rsidRPr="001941B0">
              <w:rPr>
                <w:rFonts w:cs="Calibri"/>
                <w:sz w:val="20"/>
                <w:szCs w:val="20"/>
              </w:rPr>
              <w:br/>
              <w:t xml:space="preserve"> Dostęp do danych osobowych lub jednostkowych danych medycznych usługobiorców, przetwarzanych w systemie teleinformatycznym usługodawcy lub w SIM, mają ponadto: </w:t>
            </w:r>
            <w:r w:rsidRPr="001941B0">
              <w:rPr>
                <w:rFonts w:cs="Calibri"/>
                <w:sz w:val="20"/>
                <w:szCs w:val="20"/>
              </w:rPr>
              <w:br/>
              <w:t xml:space="preserve">1) lekarz sądowy w trakcie czynności określonych w art. 2 ust. 2 ustawy o lekarzu sądowym, </w:t>
            </w:r>
            <w:r w:rsidRPr="001941B0">
              <w:rPr>
                <w:rFonts w:cs="Calibri"/>
                <w:sz w:val="20"/>
                <w:szCs w:val="20"/>
              </w:rPr>
              <w:br/>
              <w:t xml:space="preserve">2) lekarz uprawniony do badań kierowców w trakcie czynności </w:t>
            </w:r>
            <w:r w:rsidRPr="001941B0">
              <w:rPr>
                <w:rFonts w:cs="Calibri"/>
                <w:sz w:val="20"/>
                <w:szCs w:val="20"/>
              </w:rPr>
              <w:lastRenderedPageBreak/>
              <w:t>określonych w art. 75 ust. 1 ustawy o kierujących pojazdami,</w:t>
            </w:r>
            <w:r w:rsidRPr="001941B0">
              <w:rPr>
                <w:rFonts w:cs="Calibri"/>
                <w:sz w:val="20"/>
                <w:szCs w:val="20"/>
              </w:rPr>
              <w:br/>
              <w:t>3) lekarz uprawniony do badań profilaktycznych pracowników w trakcie czynności określonych w art. 6 ust. 1 pkt 2 ustawy o Służbie Medycyny Pracy,</w:t>
            </w:r>
            <w:r w:rsidRPr="001941B0">
              <w:rPr>
                <w:rFonts w:cs="Calibri"/>
                <w:sz w:val="20"/>
                <w:szCs w:val="20"/>
              </w:rPr>
              <w:br/>
              <w:t>4) orzecznik lotniczo-lekarski w w trakcie czynności określonych w art. 106 ustawy Prawo lotnicze</w:t>
            </w:r>
            <w:r w:rsidRPr="001941B0">
              <w:rPr>
                <w:rFonts w:cs="Calibri"/>
                <w:sz w:val="20"/>
                <w:szCs w:val="20"/>
              </w:rPr>
              <w:br/>
            </w:r>
            <w:r w:rsidRPr="001941B0">
              <w:rPr>
                <w:rFonts w:cs="Calibri"/>
                <w:sz w:val="20"/>
                <w:szCs w:val="20"/>
              </w:rPr>
              <w:br/>
              <w:t>mając na uwadze interes społeczny w pełnym dostępie lekarza orzekającego do dokumentów o stanie zdrowia osoby badanej, ponieważ wynik takiego badania ma znaczenie dla bezpieczeństwa publicznego, dobra wymiaru sprawiedliwości lub bezpieczeństwa innych osób.</w:t>
            </w:r>
          </w:p>
        </w:tc>
        <w:tc>
          <w:tcPr>
            <w:tcW w:w="2855" w:type="dxa"/>
            <w:shd w:val="clear" w:color="auto" w:fill="FFFFFF" w:themeFill="background1"/>
          </w:tcPr>
          <w:p w14:paraId="0F1C9F82" w14:textId="77777777" w:rsidR="007918B9" w:rsidRPr="001941B0" w:rsidRDefault="007918B9" w:rsidP="007918B9">
            <w:pPr>
              <w:spacing w:after="0" w:line="240" w:lineRule="auto"/>
              <w:rPr>
                <w:b/>
                <w:bCs/>
                <w:sz w:val="20"/>
                <w:szCs w:val="20"/>
              </w:rPr>
            </w:pPr>
            <w:r w:rsidRPr="001941B0">
              <w:rPr>
                <w:b/>
                <w:bCs/>
                <w:sz w:val="20"/>
                <w:szCs w:val="20"/>
              </w:rPr>
              <w:lastRenderedPageBreak/>
              <w:t>Wyjaśnienie</w:t>
            </w:r>
          </w:p>
          <w:p w14:paraId="58200269" w14:textId="44637B1F" w:rsidR="007918B9" w:rsidRPr="001941B0" w:rsidRDefault="007918B9" w:rsidP="007918B9">
            <w:pPr>
              <w:spacing w:after="0" w:line="240" w:lineRule="auto"/>
              <w:rPr>
                <w:sz w:val="20"/>
                <w:szCs w:val="20"/>
              </w:rPr>
            </w:pPr>
            <w:r w:rsidRPr="001941B0">
              <w:rPr>
                <w:sz w:val="20"/>
                <w:szCs w:val="20"/>
              </w:rPr>
              <w:t xml:space="preserve">Proponowana zmiana wymaga </w:t>
            </w:r>
            <w:r w:rsidR="6356790A" w:rsidRPr="001941B0">
              <w:rPr>
                <w:sz w:val="20"/>
                <w:szCs w:val="20"/>
              </w:rPr>
              <w:t xml:space="preserve">szczególnej analizy oraz </w:t>
            </w:r>
            <w:r w:rsidRPr="001941B0">
              <w:rPr>
                <w:sz w:val="20"/>
                <w:szCs w:val="20"/>
              </w:rPr>
              <w:t xml:space="preserve">odroczenia w czasie ze względu </w:t>
            </w:r>
            <w:r w:rsidR="2458DA47" w:rsidRPr="001941B0">
              <w:rPr>
                <w:sz w:val="20"/>
                <w:szCs w:val="20"/>
              </w:rPr>
              <w:t>na</w:t>
            </w:r>
            <w:r w:rsidR="4CD09E08" w:rsidRPr="001941B0">
              <w:rPr>
                <w:sz w:val="20"/>
                <w:szCs w:val="20"/>
              </w:rPr>
              <w:t xml:space="preserve"> </w:t>
            </w:r>
            <w:r w:rsidRPr="001941B0">
              <w:rPr>
                <w:sz w:val="20"/>
                <w:szCs w:val="20"/>
              </w:rPr>
              <w:t xml:space="preserve">to, że dodanie uprawnień dla lekarza np. medycyny pracy wymaga szerszych zmian </w:t>
            </w:r>
            <w:r w:rsidR="3D91498C" w:rsidRPr="001941B0">
              <w:rPr>
                <w:sz w:val="20"/>
                <w:szCs w:val="20"/>
              </w:rPr>
              <w:t xml:space="preserve">legislacyjnych </w:t>
            </w:r>
            <w:r w:rsidRPr="001941B0">
              <w:rPr>
                <w:sz w:val="20"/>
                <w:szCs w:val="20"/>
              </w:rPr>
              <w:t xml:space="preserve">oraz dostosowania </w:t>
            </w:r>
            <w:r w:rsidR="60821D15" w:rsidRPr="001941B0">
              <w:rPr>
                <w:sz w:val="20"/>
                <w:szCs w:val="20"/>
              </w:rPr>
              <w:t>odpowiednich</w:t>
            </w:r>
            <w:r w:rsidR="4CD09E08" w:rsidRPr="001941B0">
              <w:rPr>
                <w:sz w:val="20"/>
                <w:szCs w:val="20"/>
              </w:rPr>
              <w:t xml:space="preserve"> </w:t>
            </w:r>
            <w:r w:rsidRPr="001941B0">
              <w:rPr>
                <w:sz w:val="20"/>
                <w:szCs w:val="20"/>
              </w:rPr>
              <w:t>systemów, co nie jest możliwe do wprowadzenia na etapie obecnych prac legislacyjnych.</w:t>
            </w:r>
          </w:p>
          <w:p w14:paraId="1A9E1388" w14:textId="77777777" w:rsidR="00306E53" w:rsidRPr="001941B0" w:rsidRDefault="00306E53" w:rsidP="006E0CB2">
            <w:pPr>
              <w:autoSpaceDE w:val="0"/>
              <w:autoSpaceDN w:val="0"/>
              <w:adjustRightInd w:val="0"/>
              <w:spacing w:after="0" w:line="240" w:lineRule="auto"/>
              <w:rPr>
                <w:rFonts w:cstheme="minorHAnsi"/>
                <w:sz w:val="20"/>
                <w:szCs w:val="20"/>
              </w:rPr>
            </w:pPr>
          </w:p>
        </w:tc>
      </w:tr>
      <w:tr w:rsidR="00952A06" w:rsidRPr="001941B0" w14:paraId="6EA21BA0" w14:textId="77777777" w:rsidTr="00DE7BB4">
        <w:tc>
          <w:tcPr>
            <w:tcW w:w="14316" w:type="dxa"/>
            <w:gridSpan w:val="5"/>
            <w:shd w:val="clear" w:color="auto" w:fill="ADADAD" w:themeFill="background2" w:themeFillShade="BF"/>
          </w:tcPr>
          <w:p w14:paraId="03A867C8" w14:textId="6F2CEC55" w:rsidR="00306E53" w:rsidRPr="001941B0" w:rsidRDefault="00306E53" w:rsidP="006E0CB2">
            <w:pPr>
              <w:autoSpaceDE w:val="0"/>
              <w:autoSpaceDN w:val="0"/>
              <w:adjustRightInd w:val="0"/>
              <w:spacing w:after="0" w:line="240" w:lineRule="auto"/>
              <w:rPr>
                <w:rFonts w:cstheme="minorHAnsi"/>
                <w:sz w:val="20"/>
                <w:szCs w:val="20"/>
              </w:rPr>
            </w:pPr>
            <w:bookmarkStart w:id="7" w:name="ART_7"/>
            <w:r w:rsidRPr="001941B0">
              <w:rPr>
                <w:rFonts w:cstheme="minorHAnsi"/>
                <w:b/>
                <w:sz w:val="20"/>
                <w:szCs w:val="20"/>
              </w:rPr>
              <w:t>ART. 7</w:t>
            </w:r>
            <w:bookmarkEnd w:id="7"/>
          </w:p>
        </w:tc>
      </w:tr>
      <w:tr w:rsidR="00FC7212" w:rsidRPr="001941B0" w14:paraId="524CAE84" w14:textId="77777777" w:rsidTr="7139DBB9">
        <w:tc>
          <w:tcPr>
            <w:tcW w:w="1125" w:type="dxa"/>
            <w:shd w:val="clear" w:color="auto" w:fill="FFFFFF" w:themeFill="background1"/>
          </w:tcPr>
          <w:p w14:paraId="5FED6FB5"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8AAA853" w14:textId="40EB89EB"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eastAsia="Times New Roman" w:cs="Times New Roman"/>
                <w:sz w:val="20"/>
                <w:szCs w:val="20"/>
              </w:rPr>
              <w:t xml:space="preserve">Naczelna Rada Pielęgniarek </w:t>
            </w:r>
            <w:r w:rsidRPr="001941B0">
              <w:rPr>
                <w:sz w:val="20"/>
                <w:szCs w:val="20"/>
              </w:rPr>
              <w:br/>
            </w:r>
            <w:r w:rsidRPr="001941B0">
              <w:rPr>
                <w:rFonts w:eastAsia="Times New Roman" w:cs="Times New Roman"/>
                <w:sz w:val="20"/>
                <w:szCs w:val="20"/>
              </w:rPr>
              <w:t>i Położnych</w:t>
            </w:r>
          </w:p>
          <w:p w14:paraId="32E35FA0" w14:textId="53BD14E5" w:rsidR="00306E53" w:rsidRPr="001941B0" w:rsidRDefault="00306E53" w:rsidP="006E0CB2">
            <w:pPr>
              <w:autoSpaceDE w:val="0"/>
              <w:autoSpaceDN w:val="0"/>
              <w:adjustRightInd w:val="0"/>
              <w:spacing w:after="0" w:line="240" w:lineRule="auto"/>
              <w:rPr>
                <w:rFonts w:cs="Calibri"/>
                <w:bCs/>
                <w:sz w:val="20"/>
                <w:szCs w:val="20"/>
              </w:rPr>
            </w:pPr>
          </w:p>
        </w:tc>
        <w:tc>
          <w:tcPr>
            <w:tcW w:w="1949" w:type="dxa"/>
            <w:shd w:val="clear" w:color="auto" w:fill="FFFFFF" w:themeFill="background1"/>
          </w:tcPr>
          <w:p w14:paraId="57D8540A" w14:textId="3C19984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7</w:t>
            </w:r>
          </w:p>
        </w:tc>
        <w:tc>
          <w:tcPr>
            <w:tcW w:w="5652" w:type="dxa"/>
            <w:shd w:val="clear" w:color="auto" w:fill="FFFFFF" w:themeFill="background1"/>
          </w:tcPr>
          <w:p w14:paraId="6C25538C" w14:textId="1D648B23"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cs="Calibri"/>
                <w:sz w:val="20"/>
                <w:szCs w:val="20"/>
              </w:rPr>
              <w:t xml:space="preserve">Uwaga: </w:t>
            </w:r>
            <w:r w:rsidRPr="001941B0">
              <w:rPr>
                <w:rFonts w:eastAsia="Times New Roman" w:cs="Times New Roman"/>
                <w:sz w:val="20"/>
                <w:szCs w:val="20"/>
              </w:rPr>
              <w:t xml:space="preserve">Proponujemy rozszerzenie dostępu do danych  z Systemu Informacji Medycznej o których mowa w art. 10 ustawy  z dnia 28 kwietnia 2011 r.  </w:t>
            </w:r>
            <w:r w:rsidRPr="001941B0">
              <w:rPr>
                <w:rFonts w:eastAsia="Times New Roman" w:cs="Times New Roman"/>
                <w:i/>
                <w:sz w:val="20"/>
                <w:szCs w:val="20"/>
              </w:rPr>
              <w:t>o systemie informacji  w ochronie zdrowia</w:t>
            </w:r>
            <w:r w:rsidRPr="001941B0">
              <w:rPr>
                <w:rFonts w:eastAsia="Times New Roman" w:cs="Times New Roman"/>
                <w:sz w:val="20"/>
                <w:szCs w:val="20"/>
              </w:rPr>
              <w:t xml:space="preserve"> (t.j. Dz. U. z 2025 r. poz. 302 z późn. zm.) również o pielęgniarki POZ  oraz położne POZ w zakresie wskazanym  w treści projektowanego art. 5a ustawy z dnia 27 października 2017 r.  </w:t>
            </w:r>
            <w:r w:rsidRPr="001941B0">
              <w:rPr>
                <w:rFonts w:eastAsia="Times New Roman" w:cs="Times New Roman"/>
                <w:i/>
                <w:sz w:val="20"/>
                <w:szCs w:val="20"/>
              </w:rPr>
              <w:t>o podstawowej opiece zdrowotnej</w:t>
            </w:r>
            <w:r w:rsidRPr="001941B0">
              <w:rPr>
                <w:rFonts w:eastAsia="Times New Roman" w:cs="Times New Roman"/>
                <w:sz w:val="20"/>
                <w:szCs w:val="20"/>
              </w:rPr>
              <w:t xml:space="preserve"> (t.j. Dz. U. z 2025 r. poz. 515)</w:t>
            </w:r>
          </w:p>
          <w:p w14:paraId="1BE7811A" w14:textId="484B28D5" w:rsidR="00306E53" w:rsidRPr="001941B0" w:rsidRDefault="00306E53" w:rsidP="006E0CB2">
            <w:pPr>
              <w:autoSpaceDE w:val="0"/>
              <w:autoSpaceDN w:val="0"/>
              <w:adjustRightInd w:val="0"/>
              <w:spacing w:after="0" w:line="240" w:lineRule="auto"/>
              <w:rPr>
                <w:rFonts w:cs="Calibri"/>
                <w:sz w:val="20"/>
                <w:szCs w:val="20"/>
              </w:rPr>
            </w:pPr>
          </w:p>
          <w:p w14:paraId="74490DF1" w14:textId="55AF5AB9"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Uzasadnienie: </w:t>
            </w:r>
            <w:r w:rsidRPr="001941B0">
              <w:rPr>
                <w:rFonts w:eastAsia="Times New Roman" w:cs="Times New Roman"/>
                <w:sz w:val="20"/>
                <w:szCs w:val="20"/>
              </w:rPr>
              <w:t xml:space="preserve">Zgodnie z art. 10 ust. 1 ustawy z dnia 28 kwietnia 2011 r. </w:t>
            </w:r>
            <w:r w:rsidRPr="001941B0">
              <w:rPr>
                <w:rFonts w:eastAsia="Times New Roman" w:cs="Times New Roman"/>
                <w:i/>
                <w:sz w:val="20"/>
                <w:szCs w:val="20"/>
              </w:rPr>
              <w:t>o systemie informacji w ochronie zdrowia</w:t>
            </w:r>
            <w:r w:rsidRPr="001941B0">
              <w:rPr>
                <w:rFonts w:eastAsia="Times New Roman" w:cs="Times New Roman"/>
                <w:sz w:val="20"/>
                <w:szCs w:val="20"/>
              </w:rPr>
              <w:t xml:space="preserve"> (t.j. Dz. U. z 2025 r. poz. 302 z późn. zm.) SIM jest systemem teleinformatycznym służącym przetwarzaniu danych dotyczących udzielonych, udzielanych i planowanych świadczeń opieki zdrowotnej udostępnianych przez systemy teleinformatyczne usługodawców.</w:t>
            </w:r>
          </w:p>
          <w:p w14:paraId="4D42008E" w14:textId="7DE264EE" w:rsidR="00306E53" w:rsidRPr="001941B0" w:rsidRDefault="00306E53" w:rsidP="006E0CB2">
            <w:pPr>
              <w:autoSpaceDE w:val="0"/>
              <w:autoSpaceDN w:val="0"/>
              <w:adjustRightInd w:val="0"/>
              <w:spacing w:after="0" w:line="240" w:lineRule="auto"/>
              <w:rPr>
                <w:rFonts w:eastAsia="Aptos" w:cs="Aptos"/>
                <w:sz w:val="20"/>
                <w:szCs w:val="20"/>
              </w:rPr>
            </w:pPr>
            <w:r w:rsidRPr="001941B0">
              <w:rPr>
                <w:rFonts w:eastAsia="Times New Roman" w:cs="Times New Roman"/>
                <w:sz w:val="20"/>
                <w:szCs w:val="20"/>
              </w:rPr>
              <w:t xml:space="preserve">Pielęgniarka POZ i położna POZ oraz lekarz POZ są świadczeniodawcami realizującymi świadczenia zdrowotne w zakresie swoich kompetencji  w podstawowej opiece zdrowotnej, którzy zgodnie z art. 9 ustawy z dnia 27 października 2017 r. </w:t>
            </w:r>
            <w:r w:rsidRPr="001941B0">
              <w:rPr>
                <w:rFonts w:eastAsia="Times New Roman" w:cs="Times New Roman"/>
                <w:i/>
                <w:sz w:val="20"/>
                <w:szCs w:val="20"/>
              </w:rPr>
              <w:t>o podstawowej opiece zdrowotnej</w:t>
            </w:r>
            <w:r w:rsidRPr="001941B0">
              <w:rPr>
                <w:rFonts w:eastAsia="Times New Roman" w:cs="Times New Roman"/>
                <w:sz w:val="20"/>
                <w:szCs w:val="20"/>
              </w:rPr>
              <w:t xml:space="preserve"> (t.j. Dz. U. z 2025 r. poz. 515)  są wybierani przez tożsamego świadczeniobiorcę. Dostęp do wymiany informacji </w:t>
            </w:r>
            <w:r w:rsidRPr="001941B0">
              <w:rPr>
                <w:rFonts w:eastAsia="Times New Roman" w:cs="Times New Roman"/>
                <w:sz w:val="20"/>
                <w:szCs w:val="20"/>
              </w:rPr>
              <w:lastRenderedPageBreak/>
              <w:t>dotyczących świadczeń udzielanych pacjentowi umożliwi sprawniejszą ich realizację w ramach kompetencji</w:t>
            </w:r>
          </w:p>
          <w:p w14:paraId="211CF873" w14:textId="61B091DA"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Propozycje rozwiązań: </w:t>
            </w:r>
            <w:r w:rsidRPr="001941B0">
              <w:rPr>
                <w:rFonts w:eastAsia="Times New Roman" w:cs="Times New Roman"/>
                <w:sz w:val="20"/>
                <w:szCs w:val="20"/>
              </w:rPr>
              <w:t xml:space="preserve">Proponujemy dodanie do projektowanego art. 5a ustawy z dnia 27 października 2017 r. </w:t>
            </w:r>
            <w:r w:rsidRPr="001941B0">
              <w:rPr>
                <w:rFonts w:eastAsia="Times New Roman" w:cs="Times New Roman"/>
                <w:i/>
                <w:sz w:val="20"/>
                <w:szCs w:val="20"/>
              </w:rPr>
              <w:t>o podstawowej opiece zdrowotnej</w:t>
            </w:r>
            <w:r w:rsidRPr="001941B0">
              <w:rPr>
                <w:rFonts w:eastAsia="Times New Roman" w:cs="Times New Roman"/>
                <w:sz w:val="20"/>
                <w:szCs w:val="20"/>
              </w:rPr>
              <w:t xml:space="preserve"> (t.j. Dz. U. z 2025 r. poz. 515) po słowach „lekarz POZ” wyrazów „pielęgniarka POZ oraz położna POZ”.</w:t>
            </w:r>
          </w:p>
        </w:tc>
        <w:tc>
          <w:tcPr>
            <w:tcW w:w="2855" w:type="dxa"/>
            <w:shd w:val="clear" w:color="auto" w:fill="FFFFFF" w:themeFill="background1"/>
          </w:tcPr>
          <w:p w14:paraId="188F0729" w14:textId="15CC7AD0" w:rsidR="1B5FDD98" w:rsidRPr="001941B0" w:rsidRDefault="1B5FDD98" w:rsidP="1B5FDD98">
            <w:pPr>
              <w:spacing w:after="0" w:line="240" w:lineRule="auto"/>
              <w:rPr>
                <w:sz w:val="20"/>
                <w:szCs w:val="20"/>
              </w:rPr>
            </w:pPr>
          </w:p>
          <w:p w14:paraId="4B79B3EA" w14:textId="41F4DB34" w:rsidR="216CE4C7" w:rsidRPr="001941B0" w:rsidRDefault="455248DF" w:rsidP="1B5FDD98">
            <w:pPr>
              <w:spacing w:after="0" w:line="240" w:lineRule="auto"/>
              <w:rPr>
                <w:sz w:val="20"/>
                <w:szCs w:val="20"/>
              </w:rPr>
            </w:pPr>
            <w:r w:rsidRPr="001941B0">
              <w:rPr>
                <w:sz w:val="20"/>
                <w:szCs w:val="20"/>
              </w:rPr>
              <w:t>Uwaga uwzględniona</w:t>
            </w:r>
          </w:p>
          <w:p w14:paraId="68CB3ED5" w14:textId="5F727024" w:rsidR="1B5FDD98" w:rsidRPr="001941B0" w:rsidRDefault="1B5FDD98" w:rsidP="1B5FDD98">
            <w:pPr>
              <w:spacing w:after="0" w:line="240" w:lineRule="auto"/>
              <w:rPr>
                <w:sz w:val="20"/>
                <w:szCs w:val="20"/>
              </w:rPr>
            </w:pPr>
          </w:p>
          <w:p w14:paraId="4B1F2401" w14:textId="77777777" w:rsidR="000A3960" w:rsidRPr="001941B0" w:rsidRDefault="000A3960" w:rsidP="006E0CB2">
            <w:pPr>
              <w:autoSpaceDE w:val="0"/>
              <w:autoSpaceDN w:val="0"/>
              <w:adjustRightInd w:val="0"/>
              <w:spacing w:after="0" w:line="240" w:lineRule="auto"/>
              <w:rPr>
                <w:rFonts w:cstheme="minorHAnsi"/>
                <w:sz w:val="20"/>
                <w:szCs w:val="20"/>
              </w:rPr>
            </w:pPr>
          </w:p>
          <w:p w14:paraId="31E8FFA9" w14:textId="77777777" w:rsidR="000A3960" w:rsidRPr="001941B0" w:rsidRDefault="000A3960" w:rsidP="006E0CB2">
            <w:pPr>
              <w:autoSpaceDE w:val="0"/>
              <w:autoSpaceDN w:val="0"/>
              <w:adjustRightInd w:val="0"/>
              <w:spacing w:after="0" w:line="240" w:lineRule="auto"/>
              <w:rPr>
                <w:rFonts w:cstheme="minorHAnsi"/>
                <w:sz w:val="20"/>
                <w:szCs w:val="20"/>
              </w:rPr>
            </w:pPr>
          </w:p>
          <w:p w14:paraId="6F740E12" w14:textId="77777777" w:rsidR="00467A40" w:rsidRPr="001941B0" w:rsidRDefault="00467A40" w:rsidP="006E0CB2">
            <w:pPr>
              <w:autoSpaceDE w:val="0"/>
              <w:autoSpaceDN w:val="0"/>
              <w:adjustRightInd w:val="0"/>
              <w:spacing w:after="0" w:line="240" w:lineRule="auto"/>
              <w:rPr>
                <w:rFonts w:cstheme="minorHAnsi"/>
                <w:sz w:val="20"/>
                <w:szCs w:val="20"/>
              </w:rPr>
            </w:pPr>
          </w:p>
        </w:tc>
      </w:tr>
      <w:tr w:rsidR="00952A06" w:rsidRPr="001941B0" w14:paraId="120EF429" w14:textId="77777777" w:rsidTr="00DE7BB4">
        <w:tc>
          <w:tcPr>
            <w:tcW w:w="14316" w:type="dxa"/>
            <w:gridSpan w:val="5"/>
            <w:shd w:val="clear" w:color="auto" w:fill="ADADAD" w:themeFill="background2" w:themeFillShade="BF"/>
          </w:tcPr>
          <w:p w14:paraId="54C48429" w14:textId="02B90607" w:rsidR="00306E53" w:rsidRPr="001941B0" w:rsidRDefault="00306E53" w:rsidP="006E0CB2">
            <w:pPr>
              <w:autoSpaceDE w:val="0"/>
              <w:autoSpaceDN w:val="0"/>
              <w:adjustRightInd w:val="0"/>
              <w:spacing w:after="0" w:line="240" w:lineRule="auto"/>
              <w:rPr>
                <w:rFonts w:cstheme="minorHAnsi"/>
                <w:sz w:val="20"/>
                <w:szCs w:val="20"/>
              </w:rPr>
            </w:pPr>
            <w:bookmarkStart w:id="8" w:name="ART_8"/>
            <w:r w:rsidRPr="001941B0">
              <w:rPr>
                <w:rFonts w:cstheme="minorHAnsi"/>
                <w:b/>
                <w:sz w:val="20"/>
                <w:szCs w:val="20"/>
              </w:rPr>
              <w:t>ART. 8</w:t>
            </w:r>
            <w:bookmarkEnd w:id="8"/>
          </w:p>
        </w:tc>
      </w:tr>
      <w:tr w:rsidR="00FC7212" w:rsidRPr="001941B0" w14:paraId="1FA25BF8" w14:textId="77777777" w:rsidTr="7139DBB9">
        <w:tc>
          <w:tcPr>
            <w:tcW w:w="1125" w:type="dxa"/>
            <w:shd w:val="clear" w:color="auto" w:fill="FFFFFF" w:themeFill="background1"/>
          </w:tcPr>
          <w:p w14:paraId="486E5859"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C401763" w14:textId="21BA0024"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Naczelna Izba Lekarska</w:t>
            </w:r>
          </w:p>
        </w:tc>
        <w:tc>
          <w:tcPr>
            <w:tcW w:w="1949" w:type="dxa"/>
            <w:shd w:val="clear" w:color="auto" w:fill="FFFFFF" w:themeFill="background1"/>
          </w:tcPr>
          <w:p w14:paraId="51CE0EA0" w14:textId="47B6C5B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Art. 8 </w:t>
            </w:r>
          </w:p>
        </w:tc>
        <w:tc>
          <w:tcPr>
            <w:tcW w:w="5652" w:type="dxa"/>
            <w:shd w:val="clear" w:color="auto" w:fill="FFFFFF" w:themeFill="background1"/>
          </w:tcPr>
          <w:p w14:paraId="6913EBE9" w14:textId="4FAC171F"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sz w:val="20"/>
                <w:szCs w:val="20"/>
              </w:rPr>
              <w:t>Naczelna Rada Lekarska nie zgłasza zastrzeżeń wobec proponowanego w art. 8 ustawy przedłużenia do dnia 28 lutego 2027 r. okresu, w którym czynności w zakresie kwalifikacji na staż podyplomowy, kierowania na staż podyplomowy i dokumentowania jego przebiegu oraz potwierdzania zaliczania stażu, odbywa się poza Systemem Monitorowania Kształcenia Pracowników Medycznych, a "Karta stażu podyplomowego" będzie wydawana w postaci papierowej.</w:t>
            </w:r>
          </w:p>
        </w:tc>
        <w:tc>
          <w:tcPr>
            <w:tcW w:w="2855" w:type="dxa"/>
            <w:shd w:val="clear" w:color="auto" w:fill="FFFFFF" w:themeFill="background1"/>
          </w:tcPr>
          <w:p w14:paraId="3C4E370A" w14:textId="06F4CBA5" w:rsidR="00306E53" w:rsidRPr="001941B0" w:rsidRDefault="00631020" w:rsidP="006E0CB2">
            <w:pPr>
              <w:autoSpaceDE w:val="0"/>
              <w:autoSpaceDN w:val="0"/>
              <w:adjustRightInd w:val="0"/>
              <w:spacing w:after="0" w:line="240" w:lineRule="auto"/>
              <w:rPr>
                <w:rFonts w:cstheme="minorHAnsi"/>
                <w:b/>
                <w:sz w:val="20"/>
                <w:szCs w:val="20"/>
              </w:rPr>
            </w:pPr>
            <w:r w:rsidRPr="001941B0">
              <w:rPr>
                <w:rFonts w:cstheme="minorHAnsi"/>
                <w:b/>
                <w:sz w:val="20"/>
                <w:szCs w:val="20"/>
              </w:rPr>
              <w:t>Uwaga o charakterze komentarza</w:t>
            </w:r>
          </w:p>
        </w:tc>
      </w:tr>
      <w:tr w:rsidR="00952A06" w:rsidRPr="001941B0" w14:paraId="2622CCC1" w14:textId="77777777" w:rsidTr="00DE7BB4">
        <w:tc>
          <w:tcPr>
            <w:tcW w:w="14316" w:type="dxa"/>
            <w:gridSpan w:val="5"/>
            <w:shd w:val="clear" w:color="auto" w:fill="ADADAD" w:themeFill="background2" w:themeFillShade="BF"/>
          </w:tcPr>
          <w:p w14:paraId="7964ABE1" w14:textId="37A9E46A" w:rsidR="00306E53" w:rsidRPr="001941B0" w:rsidRDefault="00306E53" w:rsidP="006E0CB2">
            <w:pPr>
              <w:autoSpaceDE w:val="0"/>
              <w:autoSpaceDN w:val="0"/>
              <w:adjustRightInd w:val="0"/>
              <w:spacing w:after="0" w:line="240" w:lineRule="auto"/>
              <w:rPr>
                <w:rFonts w:cstheme="minorHAnsi"/>
                <w:sz w:val="20"/>
                <w:szCs w:val="20"/>
              </w:rPr>
            </w:pPr>
            <w:bookmarkStart w:id="9" w:name="ART_10"/>
            <w:r w:rsidRPr="001941B0">
              <w:rPr>
                <w:rFonts w:cstheme="minorHAnsi"/>
                <w:b/>
                <w:sz w:val="20"/>
                <w:szCs w:val="20"/>
              </w:rPr>
              <w:t>ART. 10</w:t>
            </w:r>
            <w:bookmarkEnd w:id="9"/>
          </w:p>
        </w:tc>
      </w:tr>
      <w:tr w:rsidR="00FC7212" w:rsidRPr="001941B0" w14:paraId="04549756" w14:textId="77777777" w:rsidTr="7139DBB9">
        <w:tc>
          <w:tcPr>
            <w:tcW w:w="1125" w:type="dxa"/>
            <w:shd w:val="clear" w:color="auto" w:fill="FFFFFF" w:themeFill="background1"/>
          </w:tcPr>
          <w:p w14:paraId="40DDDA3F"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A0A8293" w14:textId="09DBDEC9"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NFZ</w:t>
            </w:r>
          </w:p>
        </w:tc>
        <w:tc>
          <w:tcPr>
            <w:tcW w:w="1949" w:type="dxa"/>
            <w:shd w:val="clear" w:color="auto" w:fill="FFFFFF" w:themeFill="background1"/>
          </w:tcPr>
          <w:p w14:paraId="203FF328" w14:textId="095B258F"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10</w:t>
            </w:r>
          </w:p>
        </w:tc>
        <w:tc>
          <w:tcPr>
            <w:tcW w:w="5652" w:type="dxa"/>
            <w:shd w:val="clear" w:color="auto" w:fill="FFFFFF" w:themeFill="background1"/>
          </w:tcPr>
          <w:p w14:paraId="50601062" w14:textId="2129418C" w:rsidR="00306E53" w:rsidRPr="001941B0" w:rsidRDefault="00306E53" w:rsidP="006E0CB2">
            <w:pPr>
              <w:autoSpaceDE w:val="0"/>
              <w:autoSpaceDN w:val="0"/>
              <w:adjustRightInd w:val="0"/>
              <w:spacing w:after="0" w:line="240" w:lineRule="auto"/>
              <w:jc w:val="both"/>
              <w:rPr>
                <w:rFonts w:eastAsia="Calibri" w:cs="Calibri"/>
                <w:sz w:val="20"/>
                <w:szCs w:val="20"/>
              </w:rPr>
            </w:pPr>
            <w:r w:rsidRPr="001941B0">
              <w:rPr>
                <w:rFonts w:eastAsia="Calibri" w:cs="Calibri"/>
                <w:sz w:val="20"/>
                <w:szCs w:val="20"/>
              </w:rPr>
              <w:t xml:space="preserve">W odniesieniu do systemów tworzonych na podstawie </w:t>
            </w:r>
            <w:r w:rsidRPr="001941B0">
              <w:rPr>
                <w:rFonts w:eastAsia="Calibri" w:cs="Calibri"/>
                <w:b/>
                <w:sz w:val="20"/>
                <w:szCs w:val="20"/>
              </w:rPr>
              <w:t>art. 10 - 13 projektu</w:t>
            </w:r>
            <w:r w:rsidRPr="001941B0">
              <w:rPr>
                <w:rFonts w:eastAsia="Calibri" w:cs="Calibri"/>
                <w:sz w:val="20"/>
                <w:szCs w:val="20"/>
              </w:rPr>
              <w:t xml:space="preserve"> należy wskazać, że przewidziany 5-miesięczny termin ich uruchomienia może być niewystarczający z perspektywy zapewnienia interoperacyjności oraz integracji z systemami wykorzystywanymi przez świadczeniodawców i Narodowy Fundusz Zdrowia.</w:t>
            </w:r>
          </w:p>
        </w:tc>
        <w:tc>
          <w:tcPr>
            <w:tcW w:w="2855" w:type="dxa"/>
            <w:shd w:val="clear" w:color="auto" w:fill="FFFFFF" w:themeFill="background1"/>
          </w:tcPr>
          <w:p w14:paraId="1368698A" w14:textId="77777777" w:rsidR="00C94980" w:rsidRPr="001941B0" w:rsidRDefault="00C94980" w:rsidP="006E0CB2">
            <w:pPr>
              <w:autoSpaceDE w:val="0"/>
              <w:autoSpaceDN w:val="0"/>
              <w:adjustRightInd w:val="0"/>
              <w:spacing w:after="0" w:line="240" w:lineRule="auto"/>
              <w:rPr>
                <w:rFonts w:cstheme="minorHAnsi"/>
                <w:b/>
                <w:sz w:val="20"/>
                <w:szCs w:val="20"/>
              </w:rPr>
            </w:pPr>
            <w:r w:rsidRPr="001941B0">
              <w:rPr>
                <w:rFonts w:cstheme="minorHAnsi"/>
                <w:b/>
                <w:sz w:val="20"/>
                <w:szCs w:val="20"/>
              </w:rPr>
              <w:t>Uwaga nieuwzględniona</w:t>
            </w:r>
          </w:p>
          <w:p w14:paraId="10616B0D" w14:textId="14795636" w:rsidR="00306E53" w:rsidRPr="001941B0" w:rsidRDefault="7AF86F24" w:rsidP="006E0CB2">
            <w:pPr>
              <w:autoSpaceDE w:val="0"/>
              <w:autoSpaceDN w:val="0"/>
              <w:adjustRightInd w:val="0"/>
              <w:spacing w:after="0" w:line="240" w:lineRule="auto"/>
              <w:rPr>
                <w:sz w:val="20"/>
                <w:szCs w:val="20"/>
              </w:rPr>
            </w:pPr>
            <w:r w:rsidRPr="001941B0">
              <w:rPr>
                <w:sz w:val="20"/>
                <w:szCs w:val="20"/>
              </w:rPr>
              <w:t>Termin uruchomienia</w:t>
            </w:r>
            <w:r w:rsidR="6F5D7AF4" w:rsidRPr="001941B0">
              <w:rPr>
                <w:sz w:val="20"/>
                <w:szCs w:val="20"/>
              </w:rPr>
              <w:t xml:space="preserve"> przedmiotowych</w:t>
            </w:r>
            <w:r w:rsidRPr="001941B0">
              <w:rPr>
                <w:sz w:val="20"/>
                <w:szCs w:val="20"/>
              </w:rPr>
              <w:t xml:space="preserve"> systemów wynika z</w:t>
            </w:r>
            <w:r w:rsidR="19E8FFF9" w:rsidRPr="001941B0">
              <w:rPr>
                <w:sz w:val="20"/>
                <w:szCs w:val="20"/>
              </w:rPr>
              <w:t xml:space="preserve"> Krajowego Planu Odbudowy </w:t>
            </w:r>
            <w:r w:rsidR="157FAEE8" w:rsidRPr="001941B0">
              <w:rPr>
                <w:sz w:val="20"/>
                <w:szCs w:val="20"/>
              </w:rPr>
              <w:t xml:space="preserve"> </w:t>
            </w:r>
            <w:r w:rsidR="19E8FFF9" w:rsidRPr="001941B0">
              <w:rPr>
                <w:sz w:val="20"/>
                <w:szCs w:val="20"/>
              </w:rPr>
              <w:t>i Zwiększania Odporności</w:t>
            </w:r>
            <w:r w:rsidRPr="001941B0">
              <w:rPr>
                <w:sz w:val="20"/>
                <w:szCs w:val="20"/>
              </w:rPr>
              <w:t xml:space="preserve"> </w:t>
            </w:r>
            <w:r w:rsidR="4F2A02C4" w:rsidRPr="001941B0">
              <w:rPr>
                <w:sz w:val="20"/>
                <w:szCs w:val="20"/>
              </w:rPr>
              <w:t>(</w:t>
            </w:r>
            <w:r w:rsidRPr="001941B0">
              <w:rPr>
                <w:sz w:val="20"/>
                <w:szCs w:val="20"/>
              </w:rPr>
              <w:t>KPO</w:t>
            </w:r>
            <w:r w:rsidR="0780CE46" w:rsidRPr="001941B0">
              <w:rPr>
                <w:sz w:val="20"/>
                <w:szCs w:val="20"/>
              </w:rPr>
              <w:t>)</w:t>
            </w:r>
            <w:r w:rsidRPr="001941B0">
              <w:rPr>
                <w:sz w:val="20"/>
                <w:szCs w:val="20"/>
              </w:rPr>
              <w:t>.</w:t>
            </w:r>
          </w:p>
        </w:tc>
      </w:tr>
      <w:tr w:rsidR="00952A06" w:rsidRPr="001941B0" w14:paraId="7943E5D9" w14:textId="77777777" w:rsidTr="00DE7BB4">
        <w:tc>
          <w:tcPr>
            <w:tcW w:w="14316" w:type="dxa"/>
            <w:gridSpan w:val="5"/>
            <w:shd w:val="clear" w:color="auto" w:fill="ADADAD" w:themeFill="background2" w:themeFillShade="BF"/>
          </w:tcPr>
          <w:p w14:paraId="6D33DA20" w14:textId="72B52C63" w:rsidR="00306E53" w:rsidRPr="001941B0" w:rsidRDefault="00306E53" w:rsidP="006E0CB2">
            <w:pPr>
              <w:autoSpaceDE w:val="0"/>
              <w:autoSpaceDN w:val="0"/>
              <w:adjustRightInd w:val="0"/>
              <w:spacing w:after="0" w:line="240" w:lineRule="auto"/>
              <w:rPr>
                <w:rFonts w:cstheme="minorHAnsi"/>
                <w:sz w:val="20"/>
                <w:szCs w:val="20"/>
              </w:rPr>
            </w:pPr>
            <w:bookmarkStart w:id="10" w:name="ART_11"/>
            <w:r w:rsidRPr="001941B0">
              <w:rPr>
                <w:rFonts w:cstheme="minorHAnsi"/>
                <w:b/>
                <w:sz w:val="20"/>
                <w:szCs w:val="20"/>
              </w:rPr>
              <w:t>ART. 11</w:t>
            </w:r>
            <w:bookmarkEnd w:id="10"/>
          </w:p>
        </w:tc>
      </w:tr>
      <w:tr w:rsidR="00FC7212" w:rsidRPr="001941B0" w14:paraId="4DD8C23A" w14:textId="77777777" w:rsidTr="7139DBB9">
        <w:tc>
          <w:tcPr>
            <w:tcW w:w="1125" w:type="dxa"/>
            <w:shd w:val="clear" w:color="auto" w:fill="FFFFFF" w:themeFill="background1"/>
          </w:tcPr>
          <w:p w14:paraId="429AC181"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AEBE168" w14:textId="09DBDEC9" w:rsidR="00306E53" w:rsidRPr="001941B0" w:rsidRDefault="00306E53" w:rsidP="006E0CB2">
            <w:pPr>
              <w:spacing w:after="0" w:line="240" w:lineRule="auto"/>
              <w:rPr>
                <w:rFonts w:cs="Calibri"/>
                <w:sz w:val="20"/>
                <w:szCs w:val="20"/>
              </w:rPr>
            </w:pPr>
            <w:r w:rsidRPr="001941B0">
              <w:rPr>
                <w:rFonts w:cs="Calibri"/>
                <w:sz w:val="20"/>
                <w:szCs w:val="20"/>
              </w:rPr>
              <w:t>NFZ</w:t>
            </w:r>
          </w:p>
        </w:tc>
        <w:tc>
          <w:tcPr>
            <w:tcW w:w="1949" w:type="dxa"/>
            <w:shd w:val="clear" w:color="auto" w:fill="FFFFFF" w:themeFill="background1"/>
          </w:tcPr>
          <w:p w14:paraId="6FF66175" w14:textId="6BB11F2E" w:rsidR="00306E53" w:rsidRPr="001941B0" w:rsidRDefault="00306E53" w:rsidP="006E0CB2">
            <w:pPr>
              <w:spacing w:after="0" w:line="240" w:lineRule="auto"/>
              <w:rPr>
                <w:rFonts w:cs="Calibri"/>
                <w:sz w:val="20"/>
                <w:szCs w:val="20"/>
              </w:rPr>
            </w:pPr>
            <w:r w:rsidRPr="001941B0">
              <w:rPr>
                <w:rFonts w:cs="Calibri"/>
                <w:sz w:val="20"/>
                <w:szCs w:val="20"/>
              </w:rPr>
              <w:t>Art 11</w:t>
            </w:r>
          </w:p>
        </w:tc>
        <w:tc>
          <w:tcPr>
            <w:tcW w:w="5652" w:type="dxa"/>
            <w:shd w:val="clear" w:color="auto" w:fill="FFFFFF" w:themeFill="background1"/>
          </w:tcPr>
          <w:p w14:paraId="5A225A68" w14:textId="18A6A490" w:rsidR="00306E53" w:rsidRPr="001941B0" w:rsidRDefault="00306E53" w:rsidP="006E0CB2">
            <w:pPr>
              <w:pStyle w:val="Akapitzlist"/>
              <w:spacing w:after="0" w:line="240" w:lineRule="auto"/>
              <w:ind w:left="0"/>
              <w:jc w:val="both"/>
              <w:rPr>
                <w:rFonts w:eastAsia="Calibri" w:cs="Calibri"/>
                <w:sz w:val="20"/>
                <w:szCs w:val="20"/>
              </w:rPr>
            </w:pPr>
            <w:r w:rsidRPr="001941B0">
              <w:rPr>
                <w:rFonts w:eastAsia="Calibri" w:cs="Calibri"/>
                <w:sz w:val="20"/>
                <w:szCs w:val="20"/>
              </w:rPr>
              <w:t xml:space="preserve">W odniesieniu do systemów tworzonych na podstawie </w:t>
            </w:r>
            <w:r w:rsidRPr="001941B0">
              <w:rPr>
                <w:rFonts w:eastAsia="Calibri" w:cs="Calibri"/>
                <w:b/>
                <w:sz w:val="20"/>
                <w:szCs w:val="20"/>
              </w:rPr>
              <w:t>art. 10 - 13 projektu</w:t>
            </w:r>
            <w:r w:rsidRPr="001941B0">
              <w:rPr>
                <w:rFonts w:eastAsia="Calibri" w:cs="Calibri"/>
                <w:sz w:val="20"/>
                <w:szCs w:val="20"/>
              </w:rPr>
              <w:t xml:space="preserve"> należy wskazać, że przewidziany 5-miesięczny termin ich uruchomienia może być niewystarczający z perspektywy zapewnienia interoperacyjności oraz integracji z systemami wykorzystywanymi przez świadczeniodawców i Narodowy Fundusz Zdrowia.</w:t>
            </w:r>
          </w:p>
        </w:tc>
        <w:tc>
          <w:tcPr>
            <w:tcW w:w="2855" w:type="dxa"/>
            <w:shd w:val="clear" w:color="auto" w:fill="FFFFFF" w:themeFill="background1"/>
          </w:tcPr>
          <w:p w14:paraId="32CA7D15" w14:textId="32F35639" w:rsidR="00306E53" w:rsidRPr="001941B0" w:rsidRDefault="511879AE" w:rsidP="4E799236">
            <w:pPr>
              <w:autoSpaceDE w:val="0"/>
              <w:autoSpaceDN w:val="0"/>
              <w:adjustRightInd w:val="0"/>
              <w:spacing w:after="0" w:line="240" w:lineRule="auto"/>
              <w:rPr>
                <w:sz w:val="20"/>
                <w:szCs w:val="20"/>
              </w:rPr>
            </w:pPr>
            <w:r w:rsidRPr="001941B0">
              <w:rPr>
                <w:sz w:val="20"/>
                <w:szCs w:val="20"/>
              </w:rPr>
              <w:t xml:space="preserve"> Uwaga nieuwzględniona </w:t>
            </w:r>
          </w:p>
          <w:p w14:paraId="75D02999" w14:textId="2331CD14" w:rsidR="00306E53" w:rsidRPr="001941B0" w:rsidRDefault="511879AE" w:rsidP="006E0CB2">
            <w:pPr>
              <w:autoSpaceDE w:val="0"/>
              <w:autoSpaceDN w:val="0"/>
              <w:adjustRightInd w:val="0"/>
              <w:spacing w:after="0" w:line="240" w:lineRule="auto"/>
            </w:pPr>
            <w:r w:rsidRPr="001941B0">
              <w:rPr>
                <w:sz w:val="20"/>
                <w:szCs w:val="20"/>
              </w:rPr>
              <w:t>Termin uruchomienia przedmiotowych systemów wynika z Krajowego Planu Odbudowy  i Zwiększania Odporności (KPO).</w:t>
            </w:r>
          </w:p>
        </w:tc>
      </w:tr>
      <w:tr w:rsidR="00FC7212" w:rsidRPr="001941B0" w14:paraId="6F92918D" w14:textId="77777777" w:rsidTr="7139DBB9">
        <w:tc>
          <w:tcPr>
            <w:tcW w:w="1125" w:type="dxa"/>
            <w:shd w:val="clear" w:color="auto" w:fill="FFFFFF" w:themeFill="background1"/>
          </w:tcPr>
          <w:p w14:paraId="0F9FF76D"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6E3C799" w14:textId="7D28535F"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AmCham AMERYKAŃSKA IZBA HANDLOWA W POLSCE</w:t>
            </w:r>
          </w:p>
        </w:tc>
        <w:tc>
          <w:tcPr>
            <w:tcW w:w="1949" w:type="dxa"/>
            <w:shd w:val="clear" w:color="auto" w:fill="FFFFFF" w:themeFill="background1"/>
          </w:tcPr>
          <w:p w14:paraId="6B6CF87E" w14:textId="31ECE1B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11d. 1.</w:t>
            </w:r>
          </w:p>
        </w:tc>
        <w:tc>
          <w:tcPr>
            <w:tcW w:w="5652" w:type="dxa"/>
            <w:shd w:val="clear" w:color="auto" w:fill="FFFFFF" w:themeFill="background1"/>
          </w:tcPr>
          <w:p w14:paraId="23DAABB3" w14:textId="1E7B0CEA"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Postulat uwzględnienia e-konsylium w chorobach rzadkich jako świadczenia</w:t>
            </w:r>
          </w:p>
          <w:p w14:paraId="32B7BE57" w14:textId="1B7D15D3"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gwarantowanego</w:t>
            </w:r>
          </w:p>
          <w:p w14:paraId="68270305" w14:textId="1E6D3533"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Proponujemy, aby w rozporządzeniu Ministra Zdrowia wydanym na podstawie projektowanego art. 11d ust. 2 ustawy </w:t>
            </w:r>
            <w:r w:rsidRPr="001941B0">
              <w:rPr>
                <w:rFonts w:cs="Calibri"/>
                <w:sz w:val="20"/>
                <w:szCs w:val="20"/>
              </w:rPr>
              <w:lastRenderedPageBreak/>
              <w:t>o systemie informacji w ochronie zdrowia przewidziano świadczenie gwarantowane umożliwiające publicznie finansowaną poradę lekarz–lekarz w formule ekonsyliu pomiędzy:</w:t>
            </w:r>
          </w:p>
          <w:p w14:paraId="16208E1F" w14:textId="2B8FD0E7"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 Ośrodkami Eksperckimi Chorób Rzadkich (OECR),</w:t>
            </w:r>
          </w:p>
          <w:p w14:paraId="4B06CB49" w14:textId="689C0E6B"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 a lekarzami ambulatoryjnej opieki specjalistycznej oraz lekarzami szpitalnymi prowadzącymi pacjentów z chorobami rzadkimi w codziennej praktyce klinicznej.</w:t>
            </w:r>
          </w:p>
          <w:p w14:paraId="563555EA" w14:textId="19AA27DA"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Takie e-konsylium powinno być możliwe do realizacji w trakcie wizyty pacjenta w AOS lub w szpitalu, zarówno w przypadku pacjentów z już rozpoznaną chorobą rzadką, jak i pacjentów, u których podejrzenie choroby rzadkiej pojawia się na etapie diagnostyki.</w:t>
            </w:r>
          </w:p>
          <w:p w14:paraId="66129D54" w14:textId="46C44292" w:rsidR="00306E53" w:rsidRPr="001941B0" w:rsidRDefault="00306E53" w:rsidP="006E0CB2">
            <w:pPr>
              <w:autoSpaceDE w:val="0"/>
              <w:autoSpaceDN w:val="0"/>
              <w:adjustRightInd w:val="0"/>
              <w:spacing w:after="0" w:line="240" w:lineRule="auto"/>
              <w:rPr>
                <w:rFonts w:cs="Calibri"/>
                <w:b/>
                <w:bCs/>
                <w:sz w:val="20"/>
                <w:szCs w:val="20"/>
              </w:rPr>
            </w:pPr>
            <w:r w:rsidRPr="001941B0">
              <w:rPr>
                <w:rFonts w:cs="Calibri"/>
                <w:b/>
                <w:bCs/>
                <w:sz w:val="20"/>
                <w:szCs w:val="20"/>
              </w:rPr>
              <w:t>Uzasadnienie</w:t>
            </w:r>
          </w:p>
          <w:p w14:paraId="1F4B3785" w14:textId="34EFAC18"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E-konsylium stanowi realną szansę na poprawę jakości i dostępności opieki nad pacjentami z chorobami rzadkimi, jako gotowa, bezpieczna i wystandaryzowana infrastruktura umożliwiająca rejestrowane konsultacje lekarz–lekarz pomiędzy ośrodkami o najwyższym stopniu referencyjności a podmiotami sprawującymi bieżącą opiekę nad pacjentem.</w:t>
            </w:r>
          </w:p>
          <w:p w14:paraId="033088E1" w14:textId="504EC0F8"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Celem proponowanego rozwiązania jest zapewnienie lekarzom prowadzącym pacjentów z chorobami rzadkimi stałego dostępu do eksperckich opinii oraz wsparcia w podejmowaniu decyzji klinicznych, bez konieczności każdorazowego kierowania pacjenta do ośrodka eksperckiego. Rozwiązanie to wpisuje się w koncepcję odwracania piramidy świadczeń oraz sprzyja racjonalnemu wykorzystaniu zasobów systemu ochrony zdrowia.</w:t>
            </w:r>
          </w:p>
          <w:p w14:paraId="341FFF7E" w14:textId="50D33208"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 xml:space="preserve">Postulat ten pozostaje w pełnej zgodności z założeniami Planu dla Chorób Rzadkich, w którym wielokrotnie podkreślana jest konieczność ścisłej współpracy OECR z innymi świadczeniodawcami w celu zapewnienia kompleksowej diagnostyki i leczenia pacjentów. W dokumentach strategicznych wskazuje się wprost, że współdziałanie OECR z innymi podmiotami, w tym z wykorzystaniem narzędzi teleinformatycznych, powinno docelowo umożliwiać </w:t>
            </w:r>
            <w:r w:rsidRPr="001941B0">
              <w:rPr>
                <w:rFonts w:cs="Calibri"/>
                <w:sz w:val="20"/>
                <w:szCs w:val="20"/>
              </w:rPr>
              <w:lastRenderedPageBreak/>
              <w:t>realizację potrzeb pacjentów z chorobami rzadkimi w całym kraju.</w:t>
            </w:r>
          </w:p>
          <w:p w14:paraId="02E0542F" w14:textId="5E416407"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Proponowane rozwiązanie jest również spójne z kierunkiem zaprezentowanym w - przedstawionym niedawno do konsultacji - projekcie nowelizacji ustawy o świadczeniach opieki zdrowotnej finansowanych ze środków publicznych (UD285), w którym jako jedno z zadań OECR wprost wskazano na zapewnianie możliwości konsultacji z innymi świadczeniodawcami za pośrednictwem systemów teleinformatycznych lub systemów łączności. Tworzy to jednoznaczną podstawę formalno-prawną dla realizacji konsultacji lekarz–lekarz przez OECR.</w:t>
            </w:r>
          </w:p>
          <w:p w14:paraId="547C0FB1" w14:textId="0012DDF6"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Co istotne, koncepcja ta znajduje potwierdzenie także w uzasadnieniu projektu ustawy UPR05, w którym wskazano, że e-konsylium ma zapewnić pacjentom równy i szybszy dostęp do porad specjalistów o najwyższym stopniu referencyjności, bez konieczności osobistego stawiennictwa.</w:t>
            </w:r>
          </w:p>
          <w:p w14:paraId="4E85F7A7" w14:textId="4E2AAC8C"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Dodatkowo, zgodnie z publicznie dostępnymi informacjami dotyczącymi inwestycji realizowanych ze środków Krajowego Planu Odbudowy, planowane uruchomienie Platformy E-konsylium w 2026 r. obejmuje m.in. obszar chorób rzadkich, a skala planowanych konsultacji wskazuje na istotne znaczenie tego narzędzia dla systemu ochrony zdrowia.</w:t>
            </w:r>
          </w:p>
        </w:tc>
        <w:tc>
          <w:tcPr>
            <w:tcW w:w="2855" w:type="dxa"/>
            <w:shd w:val="clear" w:color="auto" w:fill="FFFFFF" w:themeFill="background1"/>
          </w:tcPr>
          <w:p w14:paraId="4FD887EA" w14:textId="77777777" w:rsidR="00807E5B" w:rsidRPr="001941B0" w:rsidRDefault="00807E5B"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047AA181" w14:textId="588D52EF" w:rsidR="00306E53" w:rsidRPr="001941B0" w:rsidRDefault="00CC5EF7"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Zakres udzielanych świadczeń zostanie określony w aktach niższego rzędu. </w:t>
            </w:r>
          </w:p>
        </w:tc>
      </w:tr>
      <w:tr w:rsidR="00FC7212" w:rsidRPr="001941B0" w14:paraId="1FF56696" w14:textId="77777777" w:rsidTr="7139DBB9">
        <w:tc>
          <w:tcPr>
            <w:tcW w:w="1125" w:type="dxa"/>
            <w:shd w:val="clear" w:color="auto" w:fill="FFFFFF" w:themeFill="background1"/>
          </w:tcPr>
          <w:p w14:paraId="64E6B732"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20EE571" w14:textId="2F893439"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AmCham AMERYKAŃSKA IZBA HANDLOWA W POLSCE</w:t>
            </w:r>
          </w:p>
        </w:tc>
        <w:tc>
          <w:tcPr>
            <w:tcW w:w="1949" w:type="dxa"/>
            <w:shd w:val="clear" w:color="auto" w:fill="FFFFFF" w:themeFill="background1"/>
          </w:tcPr>
          <w:p w14:paraId="4374F119" w14:textId="31ECE1BC"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11d. 1.</w:t>
            </w:r>
          </w:p>
          <w:p w14:paraId="1084BF39" w14:textId="696744AD"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17416AF3" w14:textId="1A7B4495"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Konieczność zapewnienia odpowiedniej liczby OECR</w:t>
            </w:r>
          </w:p>
          <w:p w14:paraId="01103957" w14:textId="4AED4CDC"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Jednocześnie zwracamy uwagę, że skuteczność proponowanego rozwiązania wymaga zapewnienia odpowiedniej liczby Ośrodków Eksperckich Chorób Rzadkich. W tym kontekście podtrzymujemy postulaty zgłaszane przez AmCham wraz z innymi izbami handlowymi w ramach wcześniejszych konsultacji publicznych dotyczących regulacji OECR, w szczególności dotyczące:</w:t>
            </w:r>
          </w:p>
          <w:p w14:paraId="3D339FAF" w14:textId="4F55D07F"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 doprecyzowania kryteriów uzyskania statusu OECR w sposób umożliwiający adekwatną reprezentację ośrodków w skali kraju,</w:t>
            </w:r>
          </w:p>
          <w:p w14:paraId="223432DF" w14:textId="3D43F0D3"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t>• uniknięcia nadmiernie restrykcyjnych wymogów, które mogłyby istotnie ograniczyć liczbę ośrodków zdolnych do pełnienia tej funkcji.</w:t>
            </w:r>
          </w:p>
          <w:p w14:paraId="4FA8B6C4" w14:textId="6A6EF96A" w:rsidR="00306E53" w:rsidRPr="001941B0" w:rsidRDefault="00306E53" w:rsidP="006E0CB2">
            <w:pPr>
              <w:autoSpaceDE w:val="0"/>
              <w:autoSpaceDN w:val="0"/>
              <w:adjustRightInd w:val="0"/>
              <w:spacing w:after="0" w:line="240" w:lineRule="auto"/>
              <w:rPr>
                <w:sz w:val="20"/>
                <w:szCs w:val="20"/>
              </w:rPr>
            </w:pPr>
            <w:r w:rsidRPr="001941B0">
              <w:rPr>
                <w:rFonts w:cs="Calibri"/>
                <w:sz w:val="20"/>
                <w:szCs w:val="20"/>
              </w:rPr>
              <w:lastRenderedPageBreak/>
              <w:t>Bez odpowiedniej dostępności OECR realizacja e-konsylium w praktyce może okazać się ograniczona, co osłabi potencjalne korzyści dla pacjentów i lekarzy.</w:t>
            </w:r>
          </w:p>
        </w:tc>
        <w:tc>
          <w:tcPr>
            <w:tcW w:w="2855" w:type="dxa"/>
            <w:shd w:val="clear" w:color="auto" w:fill="FFFFFF" w:themeFill="background1"/>
          </w:tcPr>
          <w:p w14:paraId="0853A531" w14:textId="77777777" w:rsidR="00306E53" w:rsidRPr="001941B0" w:rsidRDefault="00807E5B"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16784B82" w14:textId="0CF4631E" w:rsidR="00807E5B" w:rsidRPr="001941B0" w:rsidRDefault="00807E5B"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Poza zakresem </w:t>
            </w:r>
            <w:r w:rsidR="001335A8" w:rsidRPr="001941B0">
              <w:rPr>
                <w:rFonts w:cstheme="minorHAnsi"/>
                <w:sz w:val="20"/>
                <w:szCs w:val="20"/>
              </w:rPr>
              <w:t xml:space="preserve">projektowanej </w:t>
            </w:r>
            <w:r w:rsidRPr="001941B0">
              <w:rPr>
                <w:rFonts w:cstheme="minorHAnsi"/>
                <w:sz w:val="20"/>
                <w:szCs w:val="20"/>
              </w:rPr>
              <w:t>regulacji</w:t>
            </w:r>
            <w:r w:rsidR="00D444F4" w:rsidRPr="001941B0">
              <w:rPr>
                <w:rFonts w:cstheme="minorHAnsi"/>
                <w:sz w:val="20"/>
                <w:szCs w:val="20"/>
              </w:rPr>
              <w:t>.</w:t>
            </w:r>
          </w:p>
        </w:tc>
      </w:tr>
      <w:tr w:rsidR="00FC7212" w:rsidRPr="001941B0" w14:paraId="0807DA44" w14:textId="77777777" w:rsidTr="7139DBB9">
        <w:tc>
          <w:tcPr>
            <w:tcW w:w="1125" w:type="dxa"/>
            <w:shd w:val="clear" w:color="auto" w:fill="FFFFFF" w:themeFill="background1"/>
          </w:tcPr>
          <w:p w14:paraId="753A34EA"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50CE22D" w14:textId="437A0463"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Telemedyczna Grupa Robocza </w:t>
            </w:r>
          </w:p>
        </w:tc>
        <w:tc>
          <w:tcPr>
            <w:tcW w:w="1949" w:type="dxa"/>
            <w:shd w:val="clear" w:color="auto" w:fill="FFFFFF" w:themeFill="background1"/>
          </w:tcPr>
          <w:p w14:paraId="6A4DCB36" w14:textId="67C36A22"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art. 11d ust. 1</w:t>
            </w:r>
          </w:p>
        </w:tc>
        <w:tc>
          <w:tcPr>
            <w:tcW w:w="5652" w:type="dxa"/>
            <w:shd w:val="clear" w:color="auto" w:fill="FFFFFF" w:themeFill="background1"/>
          </w:tcPr>
          <w:p w14:paraId="1A1DC6FD" w14:textId="5A44F145"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Komentarz: W świetle komentowanego przepisu system e-Konsylium ma umożliwiać przeprowadzanie konsultacji jedynie „w celu orzekania o stanie zdrowia” usługobiorcy w ramach udzielania mu świadczeń opieki zdrowotnej przez wnioskującego usługodawcę. W naszej ocenie jakie sformułowanie może być interpretowane zawężająco, jako że wskazuje jako cel „orzeczenie o stanie zdrowia”, a nie np. konsultacje w toku prowadzonego leczenia, ustalenie lub zmiana planu leczenia itp.</w:t>
            </w:r>
          </w:p>
          <w:p w14:paraId="21D7AADD" w14:textId="0308684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Rekomendacja: Proponujemy, aby przepis umożliwiał wykorzystywanie systemu e-Konsylium szeroko w związku z udzielanymi świadczeniami zdrowotnymi, a nie jedynie w celu orzekania o stanie zdrowia. Proponowane brzmienie:</w:t>
            </w:r>
          </w:p>
          <w:p w14:paraId="4579C1EA" w14:textId="4B73A4CB" w:rsidR="00306E53" w:rsidRPr="001941B0" w:rsidRDefault="00EF0B2F" w:rsidP="00D53120">
            <w:pPr>
              <w:autoSpaceDE w:val="0"/>
              <w:autoSpaceDN w:val="0"/>
              <w:adjustRightInd w:val="0"/>
              <w:spacing w:after="0" w:line="240" w:lineRule="auto"/>
              <w:rPr>
                <w:sz w:val="20"/>
                <w:szCs w:val="20"/>
              </w:rPr>
            </w:pPr>
            <w:r w:rsidRPr="001941B0">
              <w:rPr>
                <w:sz w:val="20"/>
                <w:szCs w:val="20"/>
              </w:rPr>
              <w:t xml:space="preserve">System e-Konsylium stanowi moduł SIM umożliwiający przeprowadzanie na wniosek usługodawcy udzielającego świadczeń finansowanych ze środków publicznych konsultacji medycznych z innymi usługodawcami, za pośrednictwem systemów </w:t>
            </w:r>
            <w:r w:rsidRPr="001941B0">
              <w:t xml:space="preserve"> </w:t>
            </w:r>
            <w:r w:rsidRPr="001941B0">
              <w:rPr>
                <w:sz w:val="20"/>
                <w:szCs w:val="20"/>
              </w:rPr>
              <w:t xml:space="preserve">teleinformatycznych lub systemów łączności, </w:t>
            </w:r>
            <w:r w:rsidRPr="001941B0">
              <w:rPr>
                <w:strike/>
                <w:sz w:val="20"/>
                <w:szCs w:val="20"/>
              </w:rPr>
              <w:t>w celu orzekania o stanie zdrowia usługobiorcy</w:t>
            </w:r>
            <w:r w:rsidRPr="001941B0">
              <w:rPr>
                <w:sz w:val="20"/>
                <w:szCs w:val="20"/>
              </w:rPr>
              <w:t xml:space="preserve"> w ramach udzielania </w:t>
            </w:r>
            <w:r w:rsidRPr="001941B0">
              <w:rPr>
                <w:strike/>
                <w:sz w:val="20"/>
                <w:szCs w:val="20"/>
              </w:rPr>
              <w:t>mu</w:t>
            </w:r>
            <w:r w:rsidRPr="001941B0">
              <w:rPr>
                <w:sz w:val="20"/>
                <w:szCs w:val="20"/>
              </w:rPr>
              <w:t xml:space="preserve"> świadczeń opieki zdrowotnej przez wnioskującego usługodawcę.</w:t>
            </w:r>
          </w:p>
        </w:tc>
        <w:tc>
          <w:tcPr>
            <w:tcW w:w="2855" w:type="dxa"/>
            <w:shd w:val="clear" w:color="auto" w:fill="FFFFFF" w:themeFill="background1"/>
          </w:tcPr>
          <w:p w14:paraId="3BF123B9" w14:textId="4864250C" w:rsidR="00B47C1D" w:rsidRPr="001941B0" w:rsidRDefault="00B47C1D" w:rsidP="006E0CB2">
            <w:pPr>
              <w:autoSpaceDE w:val="0"/>
              <w:autoSpaceDN w:val="0"/>
              <w:adjustRightInd w:val="0"/>
              <w:spacing w:after="0" w:line="240" w:lineRule="auto"/>
              <w:rPr>
                <w:rFonts w:cstheme="minorHAnsi"/>
                <w:b/>
                <w:sz w:val="20"/>
                <w:szCs w:val="20"/>
              </w:rPr>
            </w:pPr>
            <w:r w:rsidRPr="001941B0">
              <w:rPr>
                <w:rFonts w:cstheme="minorHAnsi"/>
                <w:b/>
                <w:sz w:val="20"/>
                <w:szCs w:val="20"/>
              </w:rPr>
              <w:t>Uwaga uwzględniona</w:t>
            </w:r>
            <w:r w:rsidR="009D5F2A" w:rsidRPr="001941B0">
              <w:rPr>
                <w:rFonts w:cstheme="minorHAnsi"/>
                <w:b/>
                <w:sz w:val="20"/>
                <w:szCs w:val="20"/>
              </w:rPr>
              <w:t xml:space="preserve"> </w:t>
            </w:r>
          </w:p>
          <w:p w14:paraId="77D9AEE3" w14:textId="4B40C421" w:rsidR="3A1D75CF" w:rsidRPr="001941B0" w:rsidRDefault="3A1D75CF" w:rsidP="3A1D75CF">
            <w:pPr>
              <w:spacing w:after="0" w:line="240" w:lineRule="auto"/>
              <w:rPr>
                <w:sz w:val="20"/>
                <w:szCs w:val="20"/>
              </w:rPr>
            </w:pPr>
          </w:p>
          <w:p w14:paraId="6B110C0A" w14:textId="775ACDBC" w:rsidR="00306E53" w:rsidRPr="001941B0" w:rsidRDefault="00306E53" w:rsidP="001335A8">
            <w:pPr>
              <w:spacing w:after="0" w:line="240" w:lineRule="auto"/>
              <w:rPr>
                <w:rFonts w:cstheme="minorHAnsi"/>
                <w:sz w:val="20"/>
                <w:szCs w:val="20"/>
              </w:rPr>
            </w:pPr>
          </w:p>
        </w:tc>
      </w:tr>
      <w:tr w:rsidR="00952A06" w:rsidRPr="001941B0" w14:paraId="45677769" w14:textId="77777777" w:rsidTr="00DE7BB4">
        <w:tc>
          <w:tcPr>
            <w:tcW w:w="14316" w:type="dxa"/>
            <w:gridSpan w:val="5"/>
            <w:shd w:val="clear" w:color="auto" w:fill="ADADAD" w:themeFill="background2" w:themeFillShade="BF"/>
          </w:tcPr>
          <w:p w14:paraId="15E320A1" w14:textId="0C1A9970" w:rsidR="00306E53" w:rsidRPr="001941B0" w:rsidRDefault="00306E53" w:rsidP="006E0CB2">
            <w:pPr>
              <w:autoSpaceDE w:val="0"/>
              <w:autoSpaceDN w:val="0"/>
              <w:adjustRightInd w:val="0"/>
              <w:spacing w:after="0" w:line="240" w:lineRule="auto"/>
              <w:rPr>
                <w:rFonts w:cstheme="minorHAnsi"/>
                <w:sz w:val="20"/>
                <w:szCs w:val="20"/>
              </w:rPr>
            </w:pPr>
            <w:bookmarkStart w:id="11" w:name="ART_12"/>
            <w:r w:rsidRPr="001941B0">
              <w:rPr>
                <w:rFonts w:cstheme="minorHAnsi"/>
                <w:b/>
                <w:sz w:val="20"/>
                <w:szCs w:val="20"/>
              </w:rPr>
              <w:t>ART. 12</w:t>
            </w:r>
            <w:bookmarkEnd w:id="11"/>
          </w:p>
        </w:tc>
      </w:tr>
      <w:tr w:rsidR="00FC7212" w:rsidRPr="001941B0" w14:paraId="0FE7F2DE" w14:textId="77777777" w:rsidTr="7139DBB9">
        <w:tc>
          <w:tcPr>
            <w:tcW w:w="1125" w:type="dxa"/>
            <w:shd w:val="clear" w:color="auto" w:fill="FFFFFF" w:themeFill="background1"/>
          </w:tcPr>
          <w:p w14:paraId="08D468D3"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4EE2870" w14:textId="09DBDEC9" w:rsidR="00306E53" w:rsidRPr="001941B0" w:rsidRDefault="00306E53" w:rsidP="006E0CB2">
            <w:pPr>
              <w:spacing w:after="0" w:line="240" w:lineRule="auto"/>
              <w:rPr>
                <w:rFonts w:cs="Calibri"/>
                <w:sz w:val="20"/>
                <w:szCs w:val="20"/>
              </w:rPr>
            </w:pPr>
            <w:r w:rsidRPr="001941B0">
              <w:rPr>
                <w:rFonts w:cs="Calibri"/>
                <w:sz w:val="20"/>
                <w:szCs w:val="20"/>
              </w:rPr>
              <w:t>NFZ</w:t>
            </w:r>
          </w:p>
        </w:tc>
        <w:tc>
          <w:tcPr>
            <w:tcW w:w="1949" w:type="dxa"/>
            <w:shd w:val="clear" w:color="auto" w:fill="FFFFFF" w:themeFill="background1"/>
          </w:tcPr>
          <w:p w14:paraId="58D7569F" w14:textId="5F80C97F" w:rsidR="00306E53" w:rsidRPr="001941B0" w:rsidRDefault="00306E53" w:rsidP="006E0CB2">
            <w:pPr>
              <w:spacing w:after="0" w:line="240" w:lineRule="auto"/>
              <w:rPr>
                <w:rFonts w:cs="Calibri"/>
                <w:sz w:val="20"/>
                <w:szCs w:val="20"/>
              </w:rPr>
            </w:pPr>
            <w:r w:rsidRPr="001941B0">
              <w:rPr>
                <w:rFonts w:cs="Calibri"/>
                <w:sz w:val="20"/>
                <w:szCs w:val="20"/>
              </w:rPr>
              <w:t>Art 12</w:t>
            </w:r>
          </w:p>
        </w:tc>
        <w:tc>
          <w:tcPr>
            <w:tcW w:w="5652" w:type="dxa"/>
            <w:shd w:val="clear" w:color="auto" w:fill="FFFFFF" w:themeFill="background1"/>
          </w:tcPr>
          <w:p w14:paraId="7564631D" w14:textId="7D8FF969" w:rsidR="00306E53" w:rsidRPr="001941B0" w:rsidRDefault="00306E53" w:rsidP="006E0CB2">
            <w:pPr>
              <w:spacing w:after="0" w:line="240" w:lineRule="auto"/>
              <w:jc w:val="both"/>
              <w:rPr>
                <w:rFonts w:eastAsia="Calibri" w:cs="Calibri"/>
                <w:sz w:val="20"/>
                <w:szCs w:val="20"/>
              </w:rPr>
            </w:pPr>
            <w:r w:rsidRPr="001941B0">
              <w:rPr>
                <w:rFonts w:eastAsia="Calibri" w:cs="Calibri"/>
                <w:sz w:val="20"/>
                <w:szCs w:val="20"/>
              </w:rPr>
              <w:t xml:space="preserve">W odniesieniu do systemów tworzonych na podstawie </w:t>
            </w:r>
            <w:r w:rsidRPr="001941B0">
              <w:rPr>
                <w:rFonts w:eastAsia="Calibri" w:cs="Calibri"/>
                <w:b/>
                <w:sz w:val="20"/>
                <w:szCs w:val="20"/>
              </w:rPr>
              <w:t>art. 10 - 13 projektu</w:t>
            </w:r>
            <w:r w:rsidRPr="001941B0">
              <w:rPr>
                <w:rFonts w:eastAsia="Calibri" w:cs="Calibri"/>
                <w:sz w:val="20"/>
                <w:szCs w:val="20"/>
              </w:rPr>
              <w:t xml:space="preserve"> należy wskazać, że przewidziany 5-miesięczny termin ich uruchomienia może być niewystarczający z perspektywy zapewnienia interoperacyjności oraz integracji z systemami wykorzystywanymi przez świadczeniodawców i Narodowy Fundusz Zdrowia.</w:t>
            </w:r>
          </w:p>
        </w:tc>
        <w:tc>
          <w:tcPr>
            <w:tcW w:w="2855" w:type="dxa"/>
            <w:shd w:val="clear" w:color="auto" w:fill="FFFFFF" w:themeFill="background1"/>
          </w:tcPr>
          <w:p w14:paraId="50F56000" w14:textId="1B92B502" w:rsidR="00306E53" w:rsidRPr="001941B0" w:rsidRDefault="06A71E4A" w:rsidP="4E799236">
            <w:pPr>
              <w:autoSpaceDE w:val="0"/>
              <w:autoSpaceDN w:val="0"/>
              <w:adjustRightInd w:val="0"/>
              <w:spacing w:after="0" w:line="240" w:lineRule="auto"/>
              <w:rPr>
                <w:sz w:val="20"/>
                <w:szCs w:val="20"/>
              </w:rPr>
            </w:pPr>
            <w:r w:rsidRPr="001941B0">
              <w:rPr>
                <w:sz w:val="20"/>
                <w:szCs w:val="20"/>
              </w:rPr>
              <w:t xml:space="preserve"> Uwaga nieuwzględniona </w:t>
            </w:r>
          </w:p>
          <w:p w14:paraId="391C5B51" w14:textId="3448E967" w:rsidR="00306E53" w:rsidRPr="001941B0" w:rsidRDefault="06A71E4A" w:rsidP="006E0CB2">
            <w:pPr>
              <w:autoSpaceDE w:val="0"/>
              <w:autoSpaceDN w:val="0"/>
              <w:adjustRightInd w:val="0"/>
              <w:spacing w:after="0" w:line="240" w:lineRule="auto"/>
            </w:pPr>
            <w:r w:rsidRPr="001941B0">
              <w:rPr>
                <w:sz w:val="20"/>
                <w:szCs w:val="20"/>
              </w:rPr>
              <w:t>Termin uruchomienia przedmiotowych systemów wynika z Krajowego Planu Odbudowy  i Zwiększania Odporności (KPO).</w:t>
            </w:r>
          </w:p>
        </w:tc>
      </w:tr>
      <w:tr w:rsidR="00952A06" w:rsidRPr="001941B0" w14:paraId="0389DAC4" w14:textId="77777777" w:rsidTr="00DE7BB4">
        <w:tc>
          <w:tcPr>
            <w:tcW w:w="14316" w:type="dxa"/>
            <w:gridSpan w:val="5"/>
            <w:shd w:val="clear" w:color="auto" w:fill="ADADAD" w:themeFill="background2" w:themeFillShade="BF"/>
          </w:tcPr>
          <w:p w14:paraId="032D7FBB" w14:textId="08D9ABB4" w:rsidR="00306E53" w:rsidRPr="001941B0" w:rsidRDefault="00306E53" w:rsidP="006E0CB2">
            <w:pPr>
              <w:autoSpaceDE w:val="0"/>
              <w:autoSpaceDN w:val="0"/>
              <w:adjustRightInd w:val="0"/>
              <w:spacing w:after="0" w:line="240" w:lineRule="auto"/>
              <w:rPr>
                <w:rFonts w:cstheme="minorHAnsi"/>
                <w:sz w:val="20"/>
                <w:szCs w:val="20"/>
              </w:rPr>
            </w:pPr>
            <w:bookmarkStart w:id="12" w:name="ART_13"/>
            <w:r w:rsidRPr="001941B0">
              <w:rPr>
                <w:rFonts w:cstheme="minorHAnsi"/>
                <w:b/>
                <w:sz w:val="20"/>
                <w:szCs w:val="20"/>
              </w:rPr>
              <w:t>ART. 13</w:t>
            </w:r>
            <w:bookmarkEnd w:id="12"/>
          </w:p>
        </w:tc>
      </w:tr>
      <w:tr w:rsidR="00FC7212" w:rsidRPr="001941B0" w14:paraId="63DDA279" w14:textId="77777777" w:rsidTr="7139DBB9">
        <w:tc>
          <w:tcPr>
            <w:tcW w:w="1125" w:type="dxa"/>
            <w:shd w:val="clear" w:color="auto" w:fill="FFFFFF" w:themeFill="background1"/>
          </w:tcPr>
          <w:p w14:paraId="73DE4B3D"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F130248" w14:textId="09DBDEC9" w:rsidR="00306E53" w:rsidRPr="001941B0" w:rsidRDefault="00306E53" w:rsidP="006E0CB2">
            <w:pPr>
              <w:spacing w:after="0" w:line="240" w:lineRule="auto"/>
              <w:rPr>
                <w:rFonts w:cs="Calibri"/>
                <w:sz w:val="20"/>
                <w:szCs w:val="20"/>
              </w:rPr>
            </w:pPr>
            <w:r w:rsidRPr="001941B0">
              <w:rPr>
                <w:rFonts w:cs="Calibri"/>
                <w:sz w:val="20"/>
                <w:szCs w:val="20"/>
              </w:rPr>
              <w:t>NFZ</w:t>
            </w:r>
          </w:p>
        </w:tc>
        <w:tc>
          <w:tcPr>
            <w:tcW w:w="1949" w:type="dxa"/>
            <w:shd w:val="clear" w:color="auto" w:fill="FFFFFF" w:themeFill="background1"/>
          </w:tcPr>
          <w:p w14:paraId="6EC400F5" w14:textId="4C8E9104" w:rsidR="00306E53" w:rsidRPr="001941B0" w:rsidRDefault="00306E53" w:rsidP="006E0CB2">
            <w:pPr>
              <w:spacing w:after="0" w:line="240" w:lineRule="auto"/>
              <w:rPr>
                <w:rFonts w:cs="Calibri"/>
                <w:sz w:val="20"/>
                <w:szCs w:val="20"/>
              </w:rPr>
            </w:pPr>
            <w:r w:rsidRPr="001941B0">
              <w:rPr>
                <w:rFonts w:cs="Calibri"/>
                <w:sz w:val="20"/>
                <w:szCs w:val="20"/>
              </w:rPr>
              <w:t>Art 13</w:t>
            </w:r>
          </w:p>
        </w:tc>
        <w:tc>
          <w:tcPr>
            <w:tcW w:w="5652" w:type="dxa"/>
            <w:shd w:val="clear" w:color="auto" w:fill="FFFFFF" w:themeFill="background1"/>
          </w:tcPr>
          <w:p w14:paraId="3303C1DB" w14:textId="1A3D3342" w:rsidR="00306E53" w:rsidRPr="001941B0" w:rsidRDefault="00306E53" w:rsidP="006E0CB2">
            <w:pPr>
              <w:spacing w:after="0" w:line="240" w:lineRule="auto"/>
              <w:jc w:val="both"/>
              <w:rPr>
                <w:rFonts w:eastAsia="Calibri" w:cs="Calibri"/>
                <w:sz w:val="20"/>
                <w:szCs w:val="20"/>
              </w:rPr>
            </w:pPr>
            <w:r w:rsidRPr="001941B0">
              <w:rPr>
                <w:rFonts w:eastAsia="Calibri" w:cs="Calibri"/>
                <w:sz w:val="20"/>
                <w:szCs w:val="20"/>
              </w:rPr>
              <w:t xml:space="preserve">W odniesieniu do systemów tworzonych na podstawie </w:t>
            </w:r>
            <w:r w:rsidRPr="001941B0">
              <w:rPr>
                <w:rFonts w:eastAsia="Calibri" w:cs="Calibri"/>
                <w:b/>
                <w:sz w:val="20"/>
                <w:szCs w:val="20"/>
              </w:rPr>
              <w:t>art. 10 - 13 projektu</w:t>
            </w:r>
            <w:r w:rsidRPr="001941B0">
              <w:rPr>
                <w:rFonts w:eastAsia="Calibri" w:cs="Calibri"/>
                <w:sz w:val="20"/>
                <w:szCs w:val="20"/>
              </w:rPr>
              <w:t xml:space="preserve"> należy wskazać, że przewidziany 5-miesięczny termin ich uruchomienia może być niewystarczający z perspektywy zapewnienia interoperacyjności oraz integracji z </w:t>
            </w:r>
            <w:r w:rsidRPr="001941B0">
              <w:rPr>
                <w:rFonts w:eastAsia="Calibri" w:cs="Calibri"/>
                <w:sz w:val="20"/>
                <w:szCs w:val="20"/>
              </w:rPr>
              <w:lastRenderedPageBreak/>
              <w:t>systemami wykorzystywanymi przez świadczeniodawców i Narodowy Fundusz Zdrowia.</w:t>
            </w:r>
          </w:p>
        </w:tc>
        <w:tc>
          <w:tcPr>
            <w:tcW w:w="2855" w:type="dxa"/>
            <w:shd w:val="clear" w:color="auto" w:fill="FFFFFF" w:themeFill="background1"/>
          </w:tcPr>
          <w:p w14:paraId="66577C7E" w14:textId="30124B67" w:rsidR="0016053E" w:rsidRPr="001941B0" w:rsidRDefault="0B915604" w:rsidP="4E799236">
            <w:pPr>
              <w:autoSpaceDE w:val="0"/>
              <w:autoSpaceDN w:val="0"/>
              <w:adjustRightInd w:val="0"/>
              <w:spacing w:after="0" w:line="240" w:lineRule="auto"/>
              <w:rPr>
                <w:sz w:val="20"/>
                <w:szCs w:val="20"/>
              </w:rPr>
            </w:pPr>
            <w:r w:rsidRPr="001941B0">
              <w:rPr>
                <w:sz w:val="20"/>
                <w:szCs w:val="20"/>
              </w:rPr>
              <w:lastRenderedPageBreak/>
              <w:t xml:space="preserve"> Uwaga nieuwzględniona </w:t>
            </w:r>
          </w:p>
          <w:p w14:paraId="7BED90EC" w14:textId="6309FFA1" w:rsidR="0016053E" w:rsidRPr="001941B0" w:rsidRDefault="0B915604" w:rsidP="006E0CB2">
            <w:pPr>
              <w:autoSpaceDE w:val="0"/>
              <w:autoSpaceDN w:val="0"/>
              <w:adjustRightInd w:val="0"/>
              <w:spacing w:after="0" w:line="240" w:lineRule="auto"/>
            </w:pPr>
            <w:r w:rsidRPr="001941B0">
              <w:rPr>
                <w:sz w:val="20"/>
                <w:szCs w:val="20"/>
              </w:rPr>
              <w:t xml:space="preserve">Termin uruchomienia przedmiotowych systemów wynika z Krajowego Planu </w:t>
            </w:r>
            <w:r w:rsidRPr="001941B0">
              <w:rPr>
                <w:sz w:val="20"/>
                <w:szCs w:val="20"/>
              </w:rPr>
              <w:lastRenderedPageBreak/>
              <w:t>Odbudowy  i Zwiększania Odporności (KPO).</w:t>
            </w:r>
          </w:p>
        </w:tc>
      </w:tr>
      <w:tr w:rsidR="00952A06" w:rsidRPr="001941B0" w14:paraId="5B970666" w14:textId="77777777" w:rsidTr="00DE7BB4">
        <w:tc>
          <w:tcPr>
            <w:tcW w:w="14316" w:type="dxa"/>
            <w:gridSpan w:val="5"/>
            <w:shd w:val="clear" w:color="auto" w:fill="D1D1D1" w:themeFill="background2" w:themeFillShade="E6"/>
          </w:tcPr>
          <w:p w14:paraId="41D9CCEA" w14:textId="1E676F41" w:rsidR="00306E53" w:rsidRPr="001941B0" w:rsidRDefault="00306E53" w:rsidP="006E0CB2">
            <w:pPr>
              <w:autoSpaceDE w:val="0"/>
              <w:autoSpaceDN w:val="0"/>
              <w:adjustRightInd w:val="0"/>
              <w:spacing w:after="0" w:line="240" w:lineRule="auto"/>
              <w:rPr>
                <w:rFonts w:cstheme="minorHAnsi"/>
                <w:sz w:val="20"/>
                <w:szCs w:val="20"/>
              </w:rPr>
            </w:pPr>
            <w:bookmarkStart w:id="13" w:name="Uwagi_do_uzasadnienia"/>
            <w:r w:rsidRPr="001941B0">
              <w:rPr>
                <w:b/>
                <w:sz w:val="20"/>
                <w:szCs w:val="20"/>
              </w:rPr>
              <w:lastRenderedPageBreak/>
              <w:t>Uwagi do uzasadnienia</w:t>
            </w:r>
            <w:bookmarkEnd w:id="13"/>
          </w:p>
        </w:tc>
      </w:tr>
      <w:tr w:rsidR="00FC7212" w:rsidRPr="001941B0" w14:paraId="2E3126BF" w14:textId="77777777" w:rsidTr="7139DBB9">
        <w:tc>
          <w:tcPr>
            <w:tcW w:w="1125" w:type="dxa"/>
            <w:shd w:val="clear" w:color="auto" w:fill="FFFFFF" w:themeFill="background1"/>
          </w:tcPr>
          <w:p w14:paraId="7C1EAF71"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03D8D6B" w14:textId="688F11ED"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iCs/>
                <w:sz w:val="20"/>
                <w:szCs w:val="20"/>
              </w:rPr>
              <w:t>Konsultant Krajowy w dziedzinie Kardiologii</w:t>
            </w:r>
          </w:p>
        </w:tc>
        <w:tc>
          <w:tcPr>
            <w:tcW w:w="1949" w:type="dxa"/>
            <w:shd w:val="clear" w:color="auto" w:fill="FFFFFF" w:themeFill="background1"/>
          </w:tcPr>
          <w:p w14:paraId="14671605" w14:textId="043916C6"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tc>
        <w:tc>
          <w:tcPr>
            <w:tcW w:w="5652" w:type="dxa"/>
            <w:shd w:val="clear" w:color="auto" w:fill="FFFFFF" w:themeFill="background1"/>
          </w:tcPr>
          <w:p w14:paraId="163074C8"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Niespójność terminologiczna („skrócona karta zdrowia pacjenta” vs „karta pacjenta”) w OSR względem projektu/uzasadnienia.</w:t>
            </w:r>
          </w:p>
          <w:p w14:paraId="5BFCC784"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 uwagi:</w:t>
            </w:r>
          </w:p>
          <w:p w14:paraId="0B7EE8E6"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Ryzyko błędnej implementacji IT i interpretacji klinicznej; w kardiologii (stany nagłe zagrożenia życia, leki ratujące życie) może to prowadzić do mylenia dokumentów oraz opóźnień we wdrożeniu/utrzymaniu spójności danych.</w:t>
            </w:r>
          </w:p>
          <w:p w14:paraId="1EB98025"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Propozycje rozwiązań:</w:t>
            </w:r>
          </w:p>
          <w:p w14:paraId="51C4709E" w14:textId="4D75D4F2"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Ujednolicić nazewnictwo w całym pakiecie dokumentów: jedna nazwa ustawowa + ewentualny synonim w nawiasie; spójnie w OSR, uzasadnieniu i projekcie.</w:t>
            </w:r>
          </w:p>
        </w:tc>
        <w:tc>
          <w:tcPr>
            <w:tcW w:w="2855" w:type="dxa"/>
            <w:shd w:val="clear" w:color="auto" w:fill="FFFFFF" w:themeFill="background1"/>
          </w:tcPr>
          <w:p w14:paraId="6788B674" w14:textId="550A27BF" w:rsidR="00306E53" w:rsidRPr="001941B0" w:rsidRDefault="00306E53" w:rsidP="006E0CB2">
            <w:pPr>
              <w:autoSpaceDE w:val="0"/>
              <w:autoSpaceDN w:val="0"/>
              <w:adjustRightInd w:val="0"/>
              <w:spacing w:after="0" w:line="240" w:lineRule="auto"/>
              <w:rPr>
                <w:b/>
                <w:sz w:val="20"/>
                <w:szCs w:val="20"/>
              </w:rPr>
            </w:pPr>
            <w:r w:rsidRPr="001941B0">
              <w:rPr>
                <w:b/>
                <w:sz w:val="20"/>
                <w:szCs w:val="20"/>
              </w:rPr>
              <w:t>Uwaga uwzględniona</w:t>
            </w:r>
          </w:p>
          <w:p w14:paraId="76D54AA2" w14:textId="77777777" w:rsidR="00F41986" w:rsidRPr="001941B0" w:rsidRDefault="00F41986" w:rsidP="006E0CB2">
            <w:pPr>
              <w:autoSpaceDE w:val="0"/>
              <w:autoSpaceDN w:val="0"/>
              <w:adjustRightInd w:val="0"/>
              <w:spacing w:after="0" w:line="240" w:lineRule="auto"/>
              <w:rPr>
                <w:sz w:val="20"/>
                <w:szCs w:val="20"/>
              </w:rPr>
            </w:pPr>
          </w:p>
          <w:p w14:paraId="78213D14" w14:textId="60F34C5F" w:rsidR="00306E53" w:rsidRPr="001941B0" w:rsidRDefault="00306E53" w:rsidP="00F41986">
            <w:pPr>
              <w:spacing w:after="0" w:line="240" w:lineRule="auto"/>
              <w:rPr>
                <w:sz w:val="20"/>
                <w:szCs w:val="20"/>
              </w:rPr>
            </w:pPr>
          </w:p>
        </w:tc>
      </w:tr>
      <w:tr w:rsidR="00FC7212" w:rsidRPr="001941B0" w14:paraId="6276DF64" w14:textId="77777777" w:rsidTr="7139DBB9">
        <w:tc>
          <w:tcPr>
            <w:tcW w:w="1125" w:type="dxa"/>
            <w:shd w:val="clear" w:color="auto" w:fill="FFFFFF" w:themeFill="background1"/>
          </w:tcPr>
          <w:p w14:paraId="0A80CAB7"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9ED8EB3" w14:textId="51567B9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79880FB0" w14:textId="0D14BA2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tc>
        <w:tc>
          <w:tcPr>
            <w:tcW w:w="5652" w:type="dxa"/>
            <w:shd w:val="clear" w:color="auto" w:fill="FFFFFF" w:themeFill="background1"/>
          </w:tcPr>
          <w:p w14:paraId="154C5A62"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Wprowadzenie EDM (karta pacjenta) jako dokumentu systemowego bez podpisu i bez jednoznacznego „twórcy” – brak opisu wymogów integralności i audytu.</w:t>
            </w:r>
          </w:p>
          <w:p w14:paraId="2D3428DC"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45104FCC"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kardiologii decyzje terapeutyczne często podejmowane są w trybie pilnym/ostrodyżurowym. Dokument bez gwarancji integralności/źródła/aktualności zwiększa ryzyko decyzji opartych o nieaktualne lub niepełne dane (np. terapia DOAC, urządzenia wszczepialne, przebyte procedury z zakresu kardiologii interwencyjnej, alergie).</w:t>
            </w:r>
          </w:p>
          <w:p w14:paraId="1DD210B7"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73CEC8A6" w14:textId="1ED7FA86"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Dodać wymagania minimalne dla karty pacjenta: metadane (data/godzina wygenerowania, źródła danych, zakres czasowy), mechanizm potwierdzenia integralności („systemowe poświadczenie”) oraz audytu - widoczne ostrzeżenie o aktualności „na chwilę złożenia zapytania”.</w:t>
            </w:r>
          </w:p>
        </w:tc>
        <w:tc>
          <w:tcPr>
            <w:tcW w:w="2855" w:type="dxa"/>
            <w:shd w:val="clear" w:color="auto" w:fill="FFFFFF" w:themeFill="background1"/>
          </w:tcPr>
          <w:p w14:paraId="27C2D548" w14:textId="47D3C0C4" w:rsidR="00306E53" w:rsidRPr="001941B0" w:rsidRDefault="00306E53" w:rsidP="006E0CB2">
            <w:pPr>
              <w:spacing w:after="0" w:line="240" w:lineRule="auto"/>
              <w:rPr>
                <w:b/>
                <w:sz w:val="20"/>
                <w:szCs w:val="20"/>
              </w:rPr>
            </w:pPr>
            <w:r w:rsidRPr="001941B0">
              <w:rPr>
                <w:b/>
                <w:sz w:val="20"/>
                <w:szCs w:val="20"/>
              </w:rPr>
              <w:t>Uwaga nieuwzględniona</w:t>
            </w:r>
          </w:p>
          <w:p w14:paraId="5B7CC82B" w14:textId="3ADFEE60" w:rsidR="00306E53" w:rsidRPr="001941B0" w:rsidRDefault="00306E53" w:rsidP="006E0CB2">
            <w:pPr>
              <w:spacing w:after="0" w:line="240" w:lineRule="auto"/>
              <w:rPr>
                <w:sz w:val="20"/>
                <w:szCs w:val="20"/>
              </w:rPr>
            </w:pPr>
          </w:p>
          <w:p w14:paraId="7B27DC48" w14:textId="77777777" w:rsidR="005E223A" w:rsidRPr="001941B0" w:rsidRDefault="005E223A" w:rsidP="005E223A">
            <w:pPr>
              <w:spacing w:after="0" w:line="240" w:lineRule="auto"/>
              <w:rPr>
                <w:sz w:val="20"/>
                <w:szCs w:val="20"/>
              </w:rPr>
            </w:pPr>
            <w:r w:rsidRPr="001941B0">
              <w:rPr>
                <w:sz w:val="20"/>
                <w:szCs w:val="20"/>
              </w:rPr>
              <w:t>Projektowana karta pacjenta jest zestawieniem danych zgromadzonych w Systemie Informacji Medycznej (SIM). Dokument ten jest generowany przez system teleinformatyczny na żądanie pracownika medycznego uprawnionego do dostępu do danych pacjenta zgodnie z zasadami określonymi w art. 35 ustawy o systemie informacji w ochronie zdrowia.</w:t>
            </w:r>
          </w:p>
          <w:p w14:paraId="5EF46FEE" w14:textId="6E269808" w:rsidR="00306E53" w:rsidRPr="001941B0" w:rsidRDefault="00306E53" w:rsidP="006E0CB2">
            <w:pPr>
              <w:spacing w:after="0" w:line="240" w:lineRule="auto"/>
              <w:rPr>
                <w:sz w:val="20"/>
                <w:szCs w:val="20"/>
              </w:rPr>
            </w:pPr>
          </w:p>
        </w:tc>
      </w:tr>
      <w:tr w:rsidR="00FC7212" w:rsidRPr="001941B0" w14:paraId="5AE08ABA" w14:textId="77777777" w:rsidTr="7139DBB9">
        <w:tc>
          <w:tcPr>
            <w:tcW w:w="1125" w:type="dxa"/>
            <w:shd w:val="clear" w:color="auto" w:fill="FFFFFF" w:themeFill="background1"/>
          </w:tcPr>
          <w:p w14:paraId="07D57DD4"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448E8D6" w14:textId="5758218A"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1C1923C6" w14:textId="7BD7569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tc>
        <w:tc>
          <w:tcPr>
            <w:tcW w:w="5652" w:type="dxa"/>
            <w:shd w:val="clear" w:color="auto" w:fill="FFFFFF" w:themeFill="background1"/>
          </w:tcPr>
          <w:p w14:paraId="33F91621"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Niespójna nazwa dokumentu KSK („karta opieki kardiologicznej”) i ryzyko pomylenia funkcji e</w:t>
            </w:r>
            <w:r w:rsidRPr="001941B0">
              <w:rPr>
                <w:rFonts w:ascii="Cambria Math" w:hAnsi="Cambria Math" w:cs="Cambria Math"/>
                <w:bCs/>
                <w:iCs/>
                <w:sz w:val="20"/>
                <w:szCs w:val="20"/>
              </w:rPr>
              <w:t>‑</w:t>
            </w:r>
            <w:r w:rsidRPr="001941B0">
              <w:rPr>
                <w:rFonts w:cs="Calibri"/>
                <w:bCs/>
                <w:iCs/>
                <w:sz w:val="20"/>
                <w:szCs w:val="20"/>
              </w:rPr>
              <w:t>KoK z kart</w:t>
            </w:r>
            <w:r w:rsidRPr="001941B0">
              <w:rPr>
                <w:rFonts w:cs="Aptos"/>
                <w:bCs/>
                <w:iCs/>
                <w:sz w:val="20"/>
                <w:szCs w:val="20"/>
              </w:rPr>
              <w:t>ą</w:t>
            </w:r>
            <w:r w:rsidRPr="001941B0">
              <w:rPr>
                <w:rFonts w:cs="Calibri"/>
                <w:bCs/>
                <w:iCs/>
                <w:sz w:val="20"/>
                <w:szCs w:val="20"/>
              </w:rPr>
              <w:t xml:space="preserve"> pacjenta (Patient Summary).</w:t>
            </w:r>
          </w:p>
          <w:p w14:paraId="75D2C98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328A1C35"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lastRenderedPageBreak/>
              <w:t>Karta e</w:t>
            </w:r>
            <w:r w:rsidRPr="001941B0">
              <w:rPr>
                <w:rFonts w:ascii="Cambria Math" w:hAnsi="Cambria Math" w:cs="Cambria Math"/>
                <w:bCs/>
                <w:iCs/>
                <w:sz w:val="20"/>
                <w:szCs w:val="20"/>
              </w:rPr>
              <w:t>‑</w:t>
            </w:r>
            <w:r w:rsidRPr="001941B0">
              <w:rPr>
                <w:rFonts w:cs="Calibri"/>
                <w:bCs/>
                <w:iCs/>
                <w:sz w:val="20"/>
                <w:szCs w:val="20"/>
              </w:rPr>
              <w:t>KoK jest narz</w:t>
            </w:r>
            <w:r w:rsidRPr="001941B0">
              <w:rPr>
                <w:rFonts w:cs="Aptos"/>
                <w:bCs/>
                <w:iCs/>
                <w:sz w:val="20"/>
                <w:szCs w:val="20"/>
              </w:rPr>
              <w:t>ę</w:t>
            </w:r>
            <w:r w:rsidRPr="001941B0">
              <w:rPr>
                <w:rFonts w:cs="Calibri"/>
                <w:bCs/>
                <w:iCs/>
                <w:sz w:val="20"/>
                <w:szCs w:val="20"/>
              </w:rPr>
              <w:t xml:space="preserve">dziem procesu koordynacji opieki kardiologicznej i uniwersalnej </w:t>
            </w:r>
            <w:r w:rsidRPr="001941B0">
              <w:rPr>
                <w:rFonts w:cs="Aptos"/>
                <w:bCs/>
                <w:iCs/>
                <w:sz w:val="20"/>
                <w:szCs w:val="20"/>
              </w:rPr>
              <w:t>ś</w:t>
            </w:r>
            <w:r w:rsidRPr="001941B0">
              <w:rPr>
                <w:rFonts w:cs="Calibri"/>
                <w:bCs/>
                <w:iCs/>
                <w:sz w:val="20"/>
                <w:szCs w:val="20"/>
              </w:rPr>
              <w:t>cie</w:t>
            </w:r>
            <w:r w:rsidRPr="001941B0">
              <w:rPr>
                <w:rFonts w:cs="Aptos"/>
                <w:bCs/>
                <w:iCs/>
                <w:sz w:val="20"/>
                <w:szCs w:val="20"/>
              </w:rPr>
              <w:t>ż</w:t>
            </w:r>
            <w:r w:rsidRPr="001941B0">
              <w:rPr>
                <w:rFonts w:cs="Calibri"/>
                <w:bCs/>
                <w:iCs/>
                <w:sz w:val="20"/>
                <w:szCs w:val="20"/>
              </w:rPr>
              <w:t>ki klinicznej w KSK oraz kamieniem milowym projektu reformy opieki kardiologicznej, a nie syntetycznym podsumowaniem danych. Pomylenie ról może doprowadzić do „zastępowania” e</w:t>
            </w:r>
            <w:r w:rsidRPr="001941B0">
              <w:rPr>
                <w:rFonts w:ascii="Cambria Math" w:hAnsi="Cambria Math" w:cs="Cambria Math"/>
                <w:bCs/>
                <w:iCs/>
                <w:sz w:val="20"/>
                <w:szCs w:val="20"/>
              </w:rPr>
              <w:t>‑</w:t>
            </w:r>
            <w:r w:rsidRPr="001941B0">
              <w:rPr>
                <w:rFonts w:cs="Calibri"/>
                <w:bCs/>
                <w:iCs/>
                <w:sz w:val="20"/>
                <w:szCs w:val="20"/>
              </w:rPr>
              <w:t>KoK kart</w:t>
            </w:r>
            <w:r w:rsidRPr="001941B0">
              <w:rPr>
                <w:rFonts w:cs="Aptos"/>
                <w:bCs/>
                <w:iCs/>
                <w:sz w:val="20"/>
                <w:szCs w:val="20"/>
              </w:rPr>
              <w:t>ą</w:t>
            </w:r>
            <w:r w:rsidRPr="001941B0">
              <w:rPr>
                <w:rFonts w:cs="Calibri"/>
                <w:bCs/>
                <w:iCs/>
                <w:sz w:val="20"/>
                <w:szCs w:val="20"/>
              </w:rPr>
              <w:t xml:space="preserve"> pacjenta oraz do nieakceptowalnego spadku kompletno</w:t>
            </w:r>
            <w:r w:rsidRPr="001941B0">
              <w:rPr>
                <w:rFonts w:cs="Aptos"/>
                <w:bCs/>
                <w:iCs/>
                <w:sz w:val="20"/>
                <w:szCs w:val="20"/>
              </w:rPr>
              <w:t>ś</w:t>
            </w:r>
            <w:r w:rsidRPr="001941B0">
              <w:rPr>
                <w:rFonts w:cs="Calibri"/>
                <w:bCs/>
                <w:iCs/>
                <w:sz w:val="20"/>
                <w:szCs w:val="20"/>
              </w:rPr>
              <w:t>ci danych procesowych (co poprzez negatywny wp</w:t>
            </w:r>
            <w:r w:rsidRPr="001941B0">
              <w:rPr>
                <w:rFonts w:cs="Aptos"/>
                <w:bCs/>
                <w:iCs/>
                <w:sz w:val="20"/>
                <w:szCs w:val="20"/>
              </w:rPr>
              <w:t>ł</w:t>
            </w:r>
            <w:r w:rsidRPr="001941B0">
              <w:rPr>
                <w:rFonts w:cs="Calibri"/>
                <w:bCs/>
                <w:iCs/>
                <w:sz w:val="20"/>
                <w:szCs w:val="20"/>
              </w:rPr>
              <w:t>yw na decyzje diagnostyczno-terapeutyczne pogarsza bezpieczeństwo pacjenta kardiologicznego skutkując jatrogennym narażeniem zdrowia/życia w szczególności w stanach wymagających podejmowania pilnych decyzji).</w:t>
            </w:r>
          </w:p>
          <w:p w14:paraId="7768E0E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0B7E2818" w14:textId="0D894BAD"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Ujednolicić nazwę do „Karta e</w:t>
            </w:r>
            <w:r w:rsidRPr="001941B0">
              <w:rPr>
                <w:rFonts w:ascii="Cambria Math" w:hAnsi="Cambria Math" w:cs="Cambria Math"/>
                <w:bCs/>
                <w:iCs/>
                <w:sz w:val="20"/>
                <w:szCs w:val="20"/>
              </w:rPr>
              <w:t>‑</w:t>
            </w:r>
            <w:r w:rsidRPr="001941B0">
              <w:rPr>
                <w:rFonts w:cs="Calibri"/>
                <w:bCs/>
                <w:iCs/>
                <w:sz w:val="20"/>
                <w:szCs w:val="20"/>
              </w:rPr>
              <w:t>KoK</w:t>
            </w:r>
            <w:r w:rsidRPr="001941B0">
              <w:rPr>
                <w:rFonts w:cs="Aptos"/>
                <w:bCs/>
                <w:iCs/>
                <w:sz w:val="20"/>
                <w:szCs w:val="20"/>
              </w:rPr>
              <w:t>”</w:t>
            </w:r>
            <w:r w:rsidRPr="001941B0">
              <w:rPr>
                <w:rFonts w:cs="Calibri"/>
                <w:bCs/>
                <w:iCs/>
                <w:sz w:val="20"/>
                <w:szCs w:val="20"/>
              </w:rPr>
              <w:t xml:space="preserve"> w ca</w:t>
            </w:r>
            <w:r w:rsidRPr="001941B0">
              <w:rPr>
                <w:rFonts w:cs="Aptos"/>
                <w:bCs/>
                <w:iCs/>
                <w:sz w:val="20"/>
                <w:szCs w:val="20"/>
              </w:rPr>
              <w:t>ł</w:t>
            </w:r>
            <w:r w:rsidRPr="001941B0">
              <w:rPr>
                <w:rFonts w:cs="Calibri"/>
                <w:bCs/>
                <w:iCs/>
                <w:sz w:val="20"/>
                <w:szCs w:val="20"/>
              </w:rPr>
              <w:t>ym pakiecie. Doda</w:t>
            </w:r>
            <w:r w:rsidRPr="001941B0">
              <w:rPr>
                <w:rFonts w:cs="Aptos"/>
                <w:bCs/>
                <w:iCs/>
                <w:sz w:val="20"/>
                <w:szCs w:val="20"/>
              </w:rPr>
              <w:t>ć</w:t>
            </w:r>
            <w:r w:rsidRPr="001941B0">
              <w:rPr>
                <w:rFonts w:cs="Calibri"/>
                <w:bCs/>
                <w:iCs/>
                <w:sz w:val="20"/>
                <w:szCs w:val="20"/>
              </w:rPr>
              <w:t xml:space="preserve"> doprecyzowanie w OSR/uzasadnieniu: karta pacjenta = summary/resume, e</w:t>
            </w:r>
            <w:r w:rsidRPr="001941B0">
              <w:rPr>
                <w:rFonts w:ascii="Cambria Math" w:hAnsi="Cambria Math" w:cs="Cambria Math"/>
                <w:bCs/>
                <w:iCs/>
                <w:sz w:val="20"/>
                <w:szCs w:val="20"/>
              </w:rPr>
              <w:t>‑</w:t>
            </w:r>
            <w:r w:rsidRPr="001941B0">
              <w:rPr>
                <w:rFonts w:cs="Calibri"/>
                <w:bCs/>
                <w:iCs/>
                <w:sz w:val="20"/>
                <w:szCs w:val="20"/>
              </w:rPr>
              <w:t>KoK = koordynacja/proces KSK; obowiązek linkowania identyfikatorów dokumentów.</w:t>
            </w:r>
          </w:p>
        </w:tc>
        <w:tc>
          <w:tcPr>
            <w:tcW w:w="2855" w:type="dxa"/>
            <w:shd w:val="clear" w:color="auto" w:fill="FFFFFF" w:themeFill="background1"/>
          </w:tcPr>
          <w:p w14:paraId="1235FD36" w14:textId="12824471" w:rsidR="00306E53" w:rsidRPr="001941B0" w:rsidRDefault="00306E53" w:rsidP="006E0CB2">
            <w:pPr>
              <w:autoSpaceDE w:val="0"/>
              <w:autoSpaceDN w:val="0"/>
              <w:adjustRightInd w:val="0"/>
              <w:spacing w:after="0" w:line="240" w:lineRule="auto"/>
              <w:rPr>
                <w:b/>
                <w:sz w:val="20"/>
                <w:szCs w:val="20"/>
              </w:rPr>
            </w:pPr>
            <w:r w:rsidRPr="001941B0">
              <w:rPr>
                <w:rFonts w:cstheme="minorHAnsi"/>
                <w:b/>
                <w:bCs/>
                <w:sz w:val="20"/>
                <w:szCs w:val="20"/>
              </w:rPr>
              <w:lastRenderedPageBreak/>
              <w:t xml:space="preserve">Uwaga </w:t>
            </w:r>
            <w:r w:rsidR="00BB661E" w:rsidRPr="001941B0">
              <w:rPr>
                <w:rFonts w:cstheme="minorHAnsi"/>
                <w:b/>
                <w:bCs/>
                <w:sz w:val="20"/>
                <w:szCs w:val="20"/>
              </w:rPr>
              <w:t>nie</w:t>
            </w:r>
            <w:r w:rsidRPr="001941B0">
              <w:rPr>
                <w:rFonts w:cstheme="minorHAnsi"/>
                <w:b/>
                <w:bCs/>
                <w:sz w:val="20"/>
                <w:szCs w:val="20"/>
              </w:rPr>
              <w:t>uwzględniona</w:t>
            </w:r>
          </w:p>
          <w:p w14:paraId="31C67FDE" w14:textId="19AEDF3C" w:rsidR="00306E53" w:rsidRPr="001941B0" w:rsidRDefault="00306E53" w:rsidP="006E0CB2">
            <w:pPr>
              <w:autoSpaceDE w:val="0"/>
              <w:autoSpaceDN w:val="0"/>
              <w:adjustRightInd w:val="0"/>
              <w:spacing w:after="0" w:line="240" w:lineRule="auto"/>
              <w:rPr>
                <w:sz w:val="20"/>
                <w:szCs w:val="20"/>
              </w:rPr>
            </w:pPr>
          </w:p>
          <w:p w14:paraId="01D4C6F0" w14:textId="708A2C4D" w:rsidR="00306E53" w:rsidRPr="001941B0" w:rsidRDefault="00306E53" w:rsidP="006E0CB2">
            <w:pPr>
              <w:autoSpaceDE w:val="0"/>
              <w:autoSpaceDN w:val="0"/>
              <w:adjustRightInd w:val="0"/>
              <w:spacing w:after="0" w:line="240" w:lineRule="auto"/>
              <w:rPr>
                <w:rFonts w:cstheme="minorHAnsi"/>
                <w:sz w:val="20"/>
                <w:szCs w:val="20"/>
              </w:rPr>
            </w:pPr>
            <w:r w:rsidRPr="001941B0">
              <w:rPr>
                <w:sz w:val="20"/>
                <w:szCs w:val="20"/>
              </w:rPr>
              <w:t xml:space="preserve">Brak zidentyfikowanego ryzyka. </w:t>
            </w:r>
          </w:p>
        </w:tc>
      </w:tr>
      <w:tr w:rsidR="00FC7212" w:rsidRPr="001941B0" w14:paraId="5C8B1A9F" w14:textId="77777777" w:rsidTr="7139DBB9">
        <w:tc>
          <w:tcPr>
            <w:tcW w:w="1125" w:type="dxa"/>
            <w:shd w:val="clear" w:color="auto" w:fill="FFFFFF" w:themeFill="background1"/>
          </w:tcPr>
          <w:p w14:paraId="7336DB7C"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A8F13B1" w14:textId="68F0AE3F"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7DF339A6" w14:textId="0318F2C9"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tc>
        <w:tc>
          <w:tcPr>
            <w:tcW w:w="5652" w:type="dxa"/>
            <w:shd w:val="clear" w:color="auto" w:fill="FFFFFF" w:themeFill="background1"/>
          </w:tcPr>
          <w:p w14:paraId="2E85CDDD"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Brak wyraźnego rozdzielenia zasad dostępu do „karty pacjenta” od zasad dostępu do e</w:t>
            </w:r>
            <w:r w:rsidRPr="001941B0">
              <w:rPr>
                <w:rFonts w:ascii="Cambria Math" w:hAnsi="Cambria Math" w:cs="Cambria Math"/>
                <w:bCs/>
                <w:iCs/>
                <w:sz w:val="20"/>
                <w:szCs w:val="20"/>
              </w:rPr>
              <w:t>‑</w:t>
            </w:r>
            <w:r w:rsidRPr="001941B0">
              <w:rPr>
                <w:rFonts w:cs="Calibri"/>
                <w:bCs/>
                <w:iCs/>
                <w:sz w:val="20"/>
                <w:szCs w:val="20"/>
              </w:rPr>
              <w:t>KoK w KSK.</w:t>
            </w:r>
          </w:p>
          <w:p w14:paraId="5E37720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101E28C0"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Ryzyko interpretacyjne „rozlania” trybu dostępu bez zgody na kluczowe dokumenty procesowe KSK. W kardiologii może to zmniejszyć zaufanie pacjentów do koordynacji, zmniejszyć efektywność raportowania danych (spadek kompletności e</w:t>
            </w:r>
            <w:r w:rsidRPr="001941B0">
              <w:rPr>
                <w:rFonts w:ascii="Cambria Math" w:hAnsi="Cambria Math" w:cs="Cambria Math"/>
                <w:bCs/>
                <w:iCs/>
                <w:sz w:val="20"/>
                <w:szCs w:val="20"/>
              </w:rPr>
              <w:t>‑</w:t>
            </w:r>
            <w:r w:rsidRPr="001941B0">
              <w:rPr>
                <w:rFonts w:cs="Calibri"/>
                <w:bCs/>
                <w:iCs/>
                <w:sz w:val="20"/>
                <w:szCs w:val="20"/>
              </w:rPr>
              <w:t>KoK, pogorszenie opieki w ramach platformy DOM) i utrudni</w:t>
            </w:r>
            <w:r w:rsidRPr="001941B0">
              <w:rPr>
                <w:rFonts w:cs="Aptos"/>
                <w:bCs/>
                <w:iCs/>
                <w:sz w:val="20"/>
                <w:szCs w:val="20"/>
              </w:rPr>
              <w:t>ć</w:t>
            </w:r>
            <w:r w:rsidRPr="001941B0">
              <w:rPr>
                <w:rFonts w:cs="Calibri"/>
                <w:bCs/>
                <w:iCs/>
                <w:sz w:val="20"/>
                <w:szCs w:val="20"/>
              </w:rPr>
              <w:t xml:space="preserve"> ci</w:t>
            </w:r>
            <w:r w:rsidRPr="001941B0">
              <w:rPr>
                <w:rFonts w:cs="Aptos"/>
                <w:bCs/>
                <w:iCs/>
                <w:sz w:val="20"/>
                <w:szCs w:val="20"/>
              </w:rPr>
              <w:t>ą</w:t>
            </w:r>
            <w:r w:rsidRPr="001941B0">
              <w:rPr>
                <w:rFonts w:cs="Calibri"/>
                <w:bCs/>
                <w:iCs/>
                <w:sz w:val="20"/>
                <w:szCs w:val="20"/>
              </w:rPr>
              <w:t>g</w:t>
            </w:r>
            <w:r w:rsidRPr="001941B0">
              <w:rPr>
                <w:rFonts w:cs="Aptos"/>
                <w:bCs/>
                <w:iCs/>
                <w:sz w:val="20"/>
                <w:szCs w:val="20"/>
              </w:rPr>
              <w:t>ł</w:t>
            </w:r>
            <w:r w:rsidRPr="001941B0">
              <w:rPr>
                <w:rFonts w:cs="Calibri"/>
                <w:bCs/>
                <w:iCs/>
                <w:sz w:val="20"/>
                <w:szCs w:val="20"/>
              </w:rPr>
              <w:t>o</w:t>
            </w:r>
            <w:r w:rsidRPr="001941B0">
              <w:rPr>
                <w:rFonts w:cs="Aptos"/>
                <w:bCs/>
                <w:iCs/>
                <w:sz w:val="20"/>
                <w:szCs w:val="20"/>
              </w:rPr>
              <w:t>ść</w:t>
            </w:r>
            <w:r w:rsidRPr="001941B0">
              <w:rPr>
                <w:rFonts w:cs="Calibri"/>
                <w:bCs/>
                <w:iCs/>
                <w:sz w:val="20"/>
                <w:szCs w:val="20"/>
              </w:rPr>
              <w:t xml:space="preserve"> leczenia w sieci.</w:t>
            </w:r>
          </w:p>
          <w:p w14:paraId="700DF5AF"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76F79907" w14:textId="629733A8"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Dodać wprost w uzasadnieniu/OSR zdanie: projekt nie zmienia zasad przetwarzania/udostępniania danych e</w:t>
            </w:r>
            <w:r w:rsidRPr="001941B0">
              <w:rPr>
                <w:rFonts w:ascii="Cambria Math" w:hAnsi="Cambria Math" w:cs="Cambria Math"/>
                <w:bCs/>
                <w:iCs/>
                <w:sz w:val="20"/>
                <w:szCs w:val="20"/>
              </w:rPr>
              <w:t>‑</w:t>
            </w:r>
            <w:r w:rsidRPr="001941B0">
              <w:rPr>
                <w:rFonts w:cs="Calibri"/>
                <w:bCs/>
                <w:iCs/>
                <w:sz w:val="20"/>
                <w:szCs w:val="20"/>
              </w:rPr>
              <w:t>KoK wynikaj</w:t>
            </w:r>
            <w:r w:rsidRPr="001941B0">
              <w:rPr>
                <w:rFonts w:cs="Aptos"/>
                <w:bCs/>
                <w:iCs/>
                <w:sz w:val="20"/>
                <w:szCs w:val="20"/>
              </w:rPr>
              <w:t>ą</w:t>
            </w:r>
            <w:r w:rsidRPr="001941B0">
              <w:rPr>
                <w:rFonts w:cs="Calibri"/>
                <w:bCs/>
                <w:iCs/>
                <w:sz w:val="20"/>
                <w:szCs w:val="20"/>
              </w:rPr>
              <w:t>cych z ustawy o KSK i akt</w:t>
            </w:r>
            <w:r w:rsidRPr="001941B0">
              <w:rPr>
                <w:rFonts w:cs="Aptos"/>
                <w:bCs/>
                <w:iCs/>
                <w:sz w:val="20"/>
                <w:szCs w:val="20"/>
              </w:rPr>
              <w:t>ó</w:t>
            </w:r>
            <w:r w:rsidRPr="001941B0">
              <w:rPr>
                <w:rFonts w:cs="Calibri"/>
                <w:bCs/>
                <w:iCs/>
                <w:sz w:val="20"/>
                <w:szCs w:val="20"/>
              </w:rPr>
              <w:t>w wykonawczych oraz platformy DOM; regulacje dotycz</w:t>
            </w:r>
            <w:r w:rsidRPr="001941B0">
              <w:rPr>
                <w:rFonts w:cs="Aptos"/>
                <w:bCs/>
                <w:iCs/>
                <w:sz w:val="20"/>
                <w:szCs w:val="20"/>
              </w:rPr>
              <w:t>ą</w:t>
            </w:r>
            <w:r w:rsidRPr="001941B0">
              <w:rPr>
                <w:rFonts w:cs="Calibri"/>
                <w:bCs/>
                <w:iCs/>
                <w:sz w:val="20"/>
                <w:szCs w:val="20"/>
              </w:rPr>
              <w:t xml:space="preserve"> wy</w:t>
            </w:r>
            <w:r w:rsidRPr="001941B0">
              <w:rPr>
                <w:rFonts w:cs="Aptos"/>
                <w:bCs/>
                <w:iCs/>
                <w:sz w:val="20"/>
                <w:szCs w:val="20"/>
              </w:rPr>
              <w:t>łą</w:t>
            </w:r>
            <w:r w:rsidRPr="001941B0">
              <w:rPr>
                <w:rFonts w:cs="Calibri"/>
                <w:bCs/>
                <w:iCs/>
                <w:sz w:val="20"/>
                <w:szCs w:val="20"/>
              </w:rPr>
              <w:t>cznie karty pacjenta jako Patient Summary/Resume.</w:t>
            </w:r>
          </w:p>
        </w:tc>
        <w:tc>
          <w:tcPr>
            <w:tcW w:w="2855" w:type="dxa"/>
            <w:shd w:val="clear" w:color="auto" w:fill="FFFFFF" w:themeFill="background1"/>
          </w:tcPr>
          <w:p w14:paraId="6C365A2E" w14:textId="1D4FB654" w:rsidR="00306E53" w:rsidRPr="001941B0" w:rsidRDefault="00306E53" w:rsidP="006E0CB2">
            <w:pPr>
              <w:autoSpaceDE w:val="0"/>
              <w:autoSpaceDN w:val="0"/>
              <w:adjustRightInd w:val="0"/>
              <w:spacing w:after="0" w:line="240" w:lineRule="auto"/>
              <w:rPr>
                <w:b/>
                <w:sz w:val="20"/>
                <w:szCs w:val="20"/>
              </w:rPr>
            </w:pPr>
            <w:r w:rsidRPr="001941B0">
              <w:rPr>
                <w:b/>
                <w:sz w:val="20"/>
                <w:szCs w:val="20"/>
              </w:rPr>
              <w:t>Uwaga nieuwzględniona</w:t>
            </w:r>
          </w:p>
          <w:p w14:paraId="3CCBECE7" w14:textId="6E5B85C5" w:rsidR="00306E53" w:rsidRPr="001941B0" w:rsidRDefault="00306E53" w:rsidP="006E0CB2">
            <w:pPr>
              <w:autoSpaceDE w:val="0"/>
              <w:autoSpaceDN w:val="0"/>
              <w:adjustRightInd w:val="0"/>
              <w:spacing w:after="0" w:line="240" w:lineRule="auto"/>
              <w:rPr>
                <w:sz w:val="20"/>
                <w:szCs w:val="20"/>
              </w:rPr>
            </w:pPr>
          </w:p>
          <w:p w14:paraId="19A533A9" w14:textId="4378FD9D" w:rsidR="00306E53" w:rsidRPr="001941B0" w:rsidRDefault="00306E53" w:rsidP="006E0CB2">
            <w:pPr>
              <w:autoSpaceDE w:val="0"/>
              <w:autoSpaceDN w:val="0"/>
              <w:adjustRightInd w:val="0"/>
              <w:spacing w:after="0" w:line="240" w:lineRule="auto"/>
              <w:rPr>
                <w:sz w:val="20"/>
                <w:szCs w:val="20"/>
              </w:rPr>
            </w:pPr>
            <w:r w:rsidRPr="001941B0">
              <w:rPr>
                <w:sz w:val="20"/>
                <w:szCs w:val="20"/>
              </w:rPr>
              <w:t>Brak zidentyfikowanego ryzyka.</w:t>
            </w:r>
          </w:p>
          <w:p w14:paraId="377B7E0D" w14:textId="2FE74E5F" w:rsidR="00306E53" w:rsidRPr="001941B0" w:rsidRDefault="5713FC1D" w:rsidP="4C7AD172">
            <w:pPr>
              <w:autoSpaceDE w:val="0"/>
              <w:autoSpaceDN w:val="0"/>
              <w:adjustRightInd w:val="0"/>
              <w:spacing w:after="0" w:line="240" w:lineRule="auto"/>
              <w:rPr>
                <w:sz w:val="20"/>
                <w:szCs w:val="20"/>
              </w:rPr>
            </w:pPr>
            <w:r w:rsidRPr="001941B0">
              <w:rPr>
                <w:sz w:val="20"/>
                <w:szCs w:val="20"/>
              </w:rPr>
              <w:t>Dostęp do karty e-KOK jest na zasadach analogicznych do karty e-DILO (wszystkie placówki z sieci będą miały dostęp, niezależnie od innych uprawnień).</w:t>
            </w:r>
          </w:p>
          <w:p w14:paraId="13B687F9" w14:textId="494DA678" w:rsidR="00306E53" w:rsidRPr="001941B0" w:rsidRDefault="5713FC1D" w:rsidP="006E0CB2">
            <w:pPr>
              <w:autoSpaceDE w:val="0"/>
              <w:autoSpaceDN w:val="0"/>
              <w:adjustRightInd w:val="0"/>
              <w:spacing w:after="0" w:line="240" w:lineRule="auto"/>
              <w:rPr>
                <w:sz w:val="20"/>
                <w:szCs w:val="20"/>
              </w:rPr>
            </w:pPr>
            <w:r w:rsidRPr="001941B0">
              <w:rPr>
                <w:sz w:val="20"/>
                <w:szCs w:val="20"/>
              </w:rPr>
              <w:t>W przypadku PS - mamy ogólne zasady dostępu, a w przypadku sięgania po dane transgraniczne należy uwzględnić również uwarunkowania z poszczególnych krajów członkowskich</w:t>
            </w:r>
            <w:r w:rsidR="001335A8" w:rsidRPr="001941B0">
              <w:rPr>
                <w:sz w:val="20"/>
                <w:szCs w:val="20"/>
              </w:rPr>
              <w:t>.</w:t>
            </w:r>
          </w:p>
        </w:tc>
      </w:tr>
      <w:tr w:rsidR="00FC7212" w:rsidRPr="001941B0" w14:paraId="0FD62929" w14:textId="77777777" w:rsidTr="7139DBB9">
        <w:tc>
          <w:tcPr>
            <w:tcW w:w="1125" w:type="dxa"/>
            <w:shd w:val="clear" w:color="auto" w:fill="FFFFFF" w:themeFill="background1"/>
          </w:tcPr>
          <w:p w14:paraId="2768285F"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1E19535" w14:textId="0AE63132"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26260426" w14:textId="062B15B2"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Uzasadnienie</w:t>
            </w:r>
          </w:p>
        </w:tc>
        <w:tc>
          <w:tcPr>
            <w:tcW w:w="5652" w:type="dxa"/>
            <w:shd w:val="clear" w:color="auto" w:fill="FFFFFF" w:themeFill="background1"/>
          </w:tcPr>
          <w:p w14:paraId="0020BCF7"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Mechanizm „potwierdzania aktualności” bez ponownego wytworzenia dokumentu może być nieczytelny klinicznie; brak </w:t>
            </w:r>
            <w:r w:rsidRPr="001941B0">
              <w:rPr>
                <w:rFonts w:cs="Calibri"/>
                <w:bCs/>
                <w:iCs/>
                <w:sz w:val="20"/>
                <w:szCs w:val="20"/>
              </w:rPr>
              <w:lastRenderedPageBreak/>
              <w:t>jednoznacznego oznaczenia daty ostatniej zmiany danych źródłowych vs daty wygenerowania.</w:t>
            </w:r>
          </w:p>
          <w:p w14:paraId="02FDF101"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6313595A"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ostrych zespołach wieńcowych, niewydolności serca, zaburzeniach rytmu i przewodzenia liczy się aktualność niemal w czasie rzeczywistym, a przynajmniej godzinowa (np. zmiana leczenia, nowa procedura). Niejednoznaczny czas zwiększa ryzyko błędnej decyzji (np. podanie leków, kwalifikacja do zabiegu).</w:t>
            </w:r>
          </w:p>
          <w:p w14:paraId="7857BD6D"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590B0684"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Wymagać w karcie pacjenta dwóch znaczników czasu:</w:t>
            </w:r>
          </w:p>
          <w:p w14:paraId="1705E2FA" w14:textId="77777777" w:rsidR="00306E53" w:rsidRPr="001941B0" w:rsidRDefault="00306E53" w:rsidP="006E0CB2">
            <w:pPr>
              <w:numPr>
                <w:ilvl w:val="0"/>
                <w:numId w:val="4"/>
              </w:numPr>
              <w:autoSpaceDE w:val="0"/>
              <w:autoSpaceDN w:val="0"/>
              <w:adjustRightInd w:val="0"/>
              <w:spacing w:after="0" w:line="240" w:lineRule="auto"/>
              <w:rPr>
                <w:rFonts w:cs="Calibri"/>
                <w:bCs/>
                <w:iCs/>
                <w:sz w:val="20"/>
                <w:szCs w:val="20"/>
              </w:rPr>
            </w:pPr>
            <w:r w:rsidRPr="001941B0">
              <w:rPr>
                <w:rFonts w:cs="Calibri"/>
                <w:bCs/>
                <w:iCs/>
                <w:sz w:val="20"/>
                <w:szCs w:val="20"/>
              </w:rPr>
              <w:t xml:space="preserve">data/godzina wygenerowania; </w:t>
            </w:r>
          </w:p>
          <w:p w14:paraId="57E14F4F" w14:textId="77777777" w:rsidR="00306E53" w:rsidRPr="001941B0" w:rsidRDefault="00306E53" w:rsidP="006E0CB2">
            <w:pPr>
              <w:numPr>
                <w:ilvl w:val="0"/>
                <w:numId w:val="4"/>
              </w:numPr>
              <w:autoSpaceDE w:val="0"/>
              <w:autoSpaceDN w:val="0"/>
              <w:adjustRightInd w:val="0"/>
              <w:spacing w:after="0" w:line="240" w:lineRule="auto"/>
              <w:rPr>
                <w:rFonts w:cs="Calibri"/>
                <w:bCs/>
                <w:iCs/>
                <w:sz w:val="20"/>
                <w:szCs w:val="20"/>
              </w:rPr>
            </w:pPr>
            <w:r w:rsidRPr="001941B0">
              <w:rPr>
                <w:rFonts w:cs="Calibri"/>
                <w:bCs/>
                <w:iCs/>
                <w:sz w:val="20"/>
                <w:szCs w:val="20"/>
              </w:rPr>
              <w:t xml:space="preserve">data/godzina ostatniej zmiany danych w SIM (najświeższe źródło).  </w:t>
            </w:r>
          </w:p>
          <w:p w14:paraId="1B79DCE1" w14:textId="79AC7644"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Dodatkowo – jawna informacja, które sekcje nie mają potwierdzonych danych („brak potwierdzonych danych”).</w:t>
            </w:r>
          </w:p>
        </w:tc>
        <w:tc>
          <w:tcPr>
            <w:tcW w:w="2855" w:type="dxa"/>
            <w:shd w:val="clear" w:color="auto" w:fill="FFFFFF" w:themeFill="background1"/>
          </w:tcPr>
          <w:p w14:paraId="4A64FEE4" w14:textId="77777777" w:rsidR="00306E53" w:rsidRPr="001941B0" w:rsidRDefault="00306E53" w:rsidP="006E0CB2">
            <w:pPr>
              <w:autoSpaceDE w:val="0"/>
              <w:autoSpaceDN w:val="0"/>
              <w:adjustRightInd w:val="0"/>
              <w:spacing w:after="0" w:line="240" w:lineRule="auto"/>
              <w:rPr>
                <w:b/>
                <w:sz w:val="20"/>
                <w:szCs w:val="20"/>
              </w:rPr>
            </w:pPr>
            <w:r w:rsidRPr="001941B0">
              <w:rPr>
                <w:b/>
                <w:sz w:val="20"/>
                <w:szCs w:val="20"/>
              </w:rPr>
              <w:lastRenderedPageBreak/>
              <w:t>Uwaga nieuwzględniona</w:t>
            </w:r>
          </w:p>
          <w:p w14:paraId="1F934FFD" w14:textId="77777777" w:rsidR="00306E53" w:rsidRPr="001941B0" w:rsidRDefault="00306E53" w:rsidP="006E0CB2">
            <w:pPr>
              <w:autoSpaceDE w:val="0"/>
              <w:autoSpaceDN w:val="0"/>
              <w:adjustRightInd w:val="0"/>
              <w:spacing w:after="0" w:line="240" w:lineRule="auto"/>
              <w:rPr>
                <w:rFonts w:cstheme="minorHAnsi"/>
                <w:bCs/>
                <w:iCs/>
                <w:sz w:val="20"/>
                <w:szCs w:val="20"/>
              </w:rPr>
            </w:pPr>
          </w:p>
          <w:p w14:paraId="2D1B6A9F" w14:textId="61DD4280" w:rsidR="00306E53" w:rsidRPr="001941B0" w:rsidRDefault="00306E53" w:rsidP="006E0CB2">
            <w:pPr>
              <w:autoSpaceDE w:val="0"/>
              <w:autoSpaceDN w:val="0"/>
              <w:adjustRightInd w:val="0"/>
              <w:spacing w:after="0" w:line="240" w:lineRule="auto"/>
              <w:rPr>
                <w:rFonts w:cstheme="minorHAnsi"/>
                <w:sz w:val="20"/>
                <w:szCs w:val="20"/>
              </w:rPr>
            </w:pPr>
            <w:r w:rsidRPr="001941B0">
              <w:rPr>
                <w:rFonts w:cstheme="minorHAnsi"/>
                <w:bCs/>
                <w:iCs/>
                <w:sz w:val="20"/>
                <w:szCs w:val="20"/>
              </w:rPr>
              <w:lastRenderedPageBreak/>
              <w:t>Systemowo zostaną zapewnione najbardziej aktualne dane.</w:t>
            </w:r>
          </w:p>
        </w:tc>
      </w:tr>
      <w:tr w:rsidR="00FC7212" w:rsidRPr="001941B0" w14:paraId="58744100" w14:textId="77777777" w:rsidTr="7139DBB9">
        <w:tc>
          <w:tcPr>
            <w:tcW w:w="1125" w:type="dxa"/>
            <w:shd w:val="clear" w:color="auto" w:fill="FFFFFF" w:themeFill="background1"/>
          </w:tcPr>
          <w:p w14:paraId="25F5C3B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0630C30" w14:textId="6339D49C"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52D7882B" w14:textId="478F0193"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tc>
        <w:tc>
          <w:tcPr>
            <w:tcW w:w="5652" w:type="dxa"/>
            <w:shd w:val="clear" w:color="auto" w:fill="FFFFFF" w:themeFill="background1"/>
          </w:tcPr>
          <w:p w14:paraId="20467CF1"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Brak minimalnych wymogów klinicznych i odpowiedzialności przy korzystaniu z analiz/AI w diagnostyce – szczególnie dla kardiologii (wysokie ryzyko stanów nagłych, duża wrażliwość na fałszywie ujemne/ dodatnie wyniki).</w:t>
            </w:r>
          </w:p>
          <w:p w14:paraId="4B33EEC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225C6891"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Narzędzia oparte o algorytmy mogą wspierać, ale nie mogą „zastępować” decyzji klinicznej ani kluczowych zaleceń KSK. Ryzyko: nadmierna wiara w wynik algorytmu, opóźnienie kierowania do OK II/III, nieprawidłowa kwalifikacja.</w:t>
            </w:r>
          </w:p>
          <w:p w14:paraId="4E244A75"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614944CA"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Dodać w OSR/uzasadnieniu minimalne wymagania:</w:t>
            </w:r>
          </w:p>
          <w:p w14:paraId="52E0F4DD" w14:textId="77777777" w:rsidR="00306E53" w:rsidRPr="001941B0" w:rsidRDefault="00306E53" w:rsidP="006E0CB2">
            <w:pPr>
              <w:numPr>
                <w:ilvl w:val="0"/>
                <w:numId w:val="5"/>
              </w:numPr>
              <w:autoSpaceDE w:val="0"/>
              <w:autoSpaceDN w:val="0"/>
              <w:adjustRightInd w:val="0"/>
              <w:spacing w:after="0" w:line="240" w:lineRule="auto"/>
              <w:rPr>
                <w:rFonts w:cs="Calibri"/>
                <w:bCs/>
                <w:iCs/>
                <w:sz w:val="20"/>
                <w:szCs w:val="20"/>
              </w:rPr>
            </w:pPr>
            <w:r w:rsidRPr="001941B0">
              <w:rPr>
                <w:rFonts w:cs="Calibri"/>
                <w:bCs/>
                <w:iCs/>
                <w:sz w:val="20"/>
                <w:szCs w:val="20"/>
              </w:rPr>
              <w:t xml:space="preserve">widoczny komunikat kliniczny ze sformułowanym zastrzeżeniem dotyczącym w/w problemu (clinical disclaimer);  </w:t>
            </w:r>
          </w:p>
          <w:p w14:paraId="1B1EA950" w14:textId="77777777" w:rsidR="00306E53" w:rsidRPr="001941B0" w:rsidRDefault="00306E53" w:rsidP="006E0CB2">
            <w:pPr>
              <w:numPr>
                <w:ilvl w:val="0"/>
                <w:numId w:val="5"/>
              </w:numPr>
              <w:autoSpaceDE w:val="0"/>
              <w:autoSpaceDN w:val="0"/>
              <w:adjustRightInd w:val="0"/>
              <w:spacing w:after="0" w:line="240" w:lineRule="auto"/>
              <w:rPr>
                <w:rFonts w:cs="Calibri"/>
                <w:bCs/>
                <w:iCs/>
                <w:sz w:val="20"/>
                <w:szCs w:val="20"/>
              </w:rPr>
            </w:pPr>
            <w:r w:rsidRPr="001941B0">
              <w:rPr>
                <w:rFonts w:cs="Calibri"/>
                <w:bCs/>
                <w:iCs/>
                <w:sz w:val="20"/>
                <w:szCs w:val="20"/>
              </w:rPr>
              <w:t xml:space="preserve">obowiązek wskazania danych wejściowych/ograniczeń; </w:t>
            </w:r>
          </w:p>
          <w:p w14:paraId="0252328A" w14:textId="77777777" w:rsidR="00306E53" w:rsidRPr="001941B0" w:rsidRDefault="00306E53" w:rsidP="006E0CB2">
            <w:pPr>
              <w:numPr>
                <w:ilvl w:val="0"/>
                <w:numId w:val="5"/>
              </w:numPr>
              <w:autoSpaceDE w:val="0"/>
              <w:autoSpaceDN w:val="0"/>
              <w:adjustRightInd w:val="0"/>
              <w:spacing w:after="0" w:line="240" w:lineRule="auto"/>
              <w:rPr>
                <w:rFonts w:cs="Calibri"/>
                <w:bCs/>
                <w:iCs/>
                <w:sz w:val="20"/>
                <w:szCs w:val="20"/>
              </w:rPr>
            </w:pPr>
            <w:r w:rsidRPr="001941B0">
              <w:rPr>
                <w:rFonts w:cs="Calibri"/>
                <w:bCs/>
                <w:iCs/>
                <w:sz w:val="20"/>
                <w:szCs w:val="20"/>
              </w:rPr>
              <w:t xml:space="preserve">mechanizm raportowania zdarzeń niepożądanych/odchyleń; </w:t>
            </w:r>
          </w:p>
          <w:p w14:paraId="318FC7B1" w14:textId="26698EC2"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zgodność z kluczowymi zaleceniami KSK (rozporządzenie dot. zaleceń).</w:t>
            </w:r>
          </w:p>
        </w:tc>
        <w:tc>
          <w:tcPr>
            <w:tcW w:w="2855" w:type="dxa"/>
            <w:shd w:val="clear" w:color="auto" w:fill="FFFFFF" w:themeFill="background1"/>
          </w:tcPr>
          <w:p w14:paraId="70EED197" w14:textId="1612757B" w:rsidR="00306E53" w:rsidRPr="001941B0" w:rsidRDefault="00306E53" w:rsidP="006E0CB2">
            <w:pPr>
              <w:autoSpaceDE w:val="0"/>
              <w:autoSpaceDN w:val="0"/>
              <w:adjustRightInd w:val="0"/>
              <w:spacing w:after="0" w:line="240" w:lineRule="auto"/>
              <w:rPr>
                <w:b/>
                <w:sz w:val="20"/>
                <w:szCs w:val="20"/>
              </w:rPr>
            </w:pPr>
            <w:r w:rsidRPr="001941B0">
              <w:rPr>
                <w:rFonts w:cstheme="minorHAnsi"/>
                <w:b/>
                <w:sz w:val="20"/>
                <w:szCs w:val="20"/>
              </w:rPr>
              <w:t>Uwaga nieuwzględniona</w:t>
            </w:r>
          </w:p>
          <w:p w14:paraId="73ECA49E" w14:textId="4CFCC6EA" w:rsidR="00306E53" w:rsidRPr="001941B0" w:rsidRDefault="00D07A69" w:rsidP="006E0CB2">
            <w:pPr>
              <w:autoSpaceDE w:val="0"/>
              <w:autoSpaceDN w:val="0"/>
              <w:adjustRightInd w:val="0"/>
              <w:spacing w:after="0" w:line="240" w:lineRule="auto"/>
              <w:rPr>
                <w:sz w:val="20"/>
                <w:szCs w:val="20"/>
              </w:rPr>
            </w:pPr>
            <w:r w:rsidRPr="001941B0">
              <w:rPr>
                <w:rFonts w:cstheme="minorHAnsi"/>
                <w:bCs/>
                <w:iCs/>
                <w:sz w:val="20"/>
                <w:szCs w:val="20"/>
              </w:rPr>
              <w:t>Zakres merytoryczny wyrobów medycznych dostępnych w ramach PUI poza zakresem projektowanej regulacji.</w:t>
            </w:r>
          </w:p>
        </w:tc>
      </w:tr>
      <w:tr w:rsidR="00FC7212" w:rsidRPr="001941B0" w14:paraId="7A154BAA" w14:textId="77777777" w:rsidTr="7139DBB9">
        <w:tc>
          <w:tcPr>
            <w:tcW w:w="1125" w:type="dxa"/>
            <w:shd w:val="clear" w:color="auto" w:fill="FFFFFF" w:themeFill="background1"/>
          </w:tcPr>
          <w:p w14:paraId="5BE24798"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12E17427" w14:textId="0D6BCB9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6E31BF27" w14:textId="40E396F4"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tc>
        <w:tc>
          <w:tcPr>
            <w:tcW w:w="5652" w:type="dxa"/>
            <w:shd w:val="clear" w:color="auto" w:fill="FFFFFF" w:themeFill="background1"/>
          </w:tcPr>
          <w:p w14:paraId="2721FA91"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Ryzyko dublowania telemonitoringu i rozdzielenia strumieni danych (SDOM vs proces kardiologiczny KSK/e</w:t>
            </w:r>
            <w:r w:rsidRPr="001941B0">
              <w:rPr>
                <w:rFonts w:ascii="Cambria Math" w:hAnsi="Cambria Math" w:cs="Cambria Math"/>
                <w:bCs/>
                <w:iCs/>
                <w:sz w:val="20"/>
                <w:szCs w:val="20"/>
              </w:rPr>
              <w:t>‑</w:t>
            </w:r>
            <w:r w:rsidRPr="001941B0">
              <w:rPr>
                <w:rFonts w:cs="Calibri"/>
                <w:bCs/>
                <w:iCs/>
                <w:sz w:val="20"/>
                <w:szCs w:val="20"/>
              </w:rPr>
              <w:t>KoK/USP) bez jasnych regu</w:t>
            </w:r>
            <w:r w:rsidRPr="001941B0">
              <w:rPr>
                <w:rFonts w:cs="Aptos"/>
                <w:bCs/>
                <w:iCs/>
                <w:sz w:val="20"/>
                <w:szCs w:val="20"/>
              </w:rPr>
              <w:t>ł</w:t>
            </w:r>
            <w:r w:rsidRPr="001941B0">
              <w:rPr>
                <w:rFonts w:cs="Calibri"/>
                <w:bCs/>
                <w:iCs/>
                <w:sz w:val="20"/>
                <w:szCs w:val="20"/>
              </w:rPr>
              <w:t xml:space="preserve"> integracji.</w:t>
            </w:r>
          </w:p>
          <w:p w14:paraId="5D9644A5"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68D46214"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kardiologii telemonitoring (HF, arytmie, urządzenia, ciśnienie, objawy) wymaga szybkiej reakcji i przypisania odpowiedzialności. Dwutorowość danych grozi przeoczeniem alertów i brakiem ciągłości w ścieżce USP.</w:t>
            </w:r>
          </w:p>
          <w:p w14:paraId="36C387F0"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057F23D9" w14:textId="0642C088"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Dodać wymóg interoperacyjności: dane SDOM istotne klinicznie w ChUK muszą być dostępne w procesie KSK (np. zasilenie e</w:t>
            </w:r>
            <w:r w:rsidRPr="001941B0">
              <w:rPr>
                <w:rFonts w:ascii="Cambria Math" w:hAnsi="Cambria Math" w:cs="Cambria Math"/>
                <w:bCs/>
                <w:iCs/>
                <w:sz w:val="20"/>
                <w:szCs w:val="20"/>
              </w:rPr>
              <w:t>‑</w:t>
            </w:r>
            <w:r w:rsidRPr="001941B0">
              <w:rPr>
                <w:rFonts w:cs="Calibri"/>
                <w:bCs/>
                <w:iCs/>
                <w:sz w:val="20"/>
                <w:szCs w:val="20"/>
              </w:rPr>
              <w:t>KoK lub jednoznaczne odwo</w:t>
            </w:r>
            <w:r w:rsidRPr="001941B0">
              <w:rPr>
                <w:rFonts w:cs="Aptos"/>
                <w:bCs/>
                <w:iCs/>
                <w:sz w:val="20"/>
                <w:szCs w:val="20"/>
              </w:rPr>
              <w:t>ł</w:t>
            </w:r>
            <w:r w:rsidRPr="001941B0">
              <w:rPr>
                <w:rFonts w:cs="Calibri"/>
                <w:bCs/>
                <w:iCs/>
                <w:sz w:val="20"/>
                <w:szCs w:val="20"/>
              </w:rPr>
              <w:t>anie w e</w:t>
            </w:r>
            <w:r w:rsidRPr="001941B0">
              <w:rPr>
                <w:rFonts w:ascii="Cambria Math" w:hAnsi="Cambria Math" w:cs="Cambria Math"/>
                <w:bCs/>
                <w:iCs/>
                <w:sz w:val="20"/>
                <w:szCs w:val="20"/>
              </w:rPr>
              <w:t>‑</w:t>
            </w:r>
            <w:r w:rsidRPr="001941B0">
              <w:rPr>
                <w:rFonts w:cs="Calibri"/>
                <w:bCs/>
                <w:iCs/>
                <w:sz w:val="20"/>
                <w:szCs w:val="20"/>
              </w:rPr>
              <w:t>KoK); okre</w:t>
            </w:r>
            <w:r w:rsidRPr="001941B0">
              <w:rPr>
                <w:rFonts w:cs="Aptos"/>
                <w:bCs/>
                <w:iCs/>
                <w:sz w:val="20"/>
                <w:szCs w:val="20"/>
              </w:rPr>
              <w:t>ś</w:t>
            </w:r>
            <w:r w:rsidRPr="001941B0">
              <w:rPr>
                <w:rFonts w:cs="Calibri"/>
                <w:bCs/>
                <w:iCs/>
                <w:sz w:val="20"/>
                <w:szCs w:val="20"/>
              </w:rPr>
              <w:t>li</w:t>
            </w:r>
            <w:r w:rsidRPr="001941B0">
              <w:rPr>
                <w:rFonts w:cs="Aptos"/>
                <w:bCs/>
                <w:iCs/>
                <w:sz w:val="20"/>
                <w:szCs w:val="20"/>
              </w:rPr>
              <w:t>ć</w:t>
            </w:r>
            <w:r w:rsidRPr="001941B0">
              <w:rPr>
                <w:rFonts w:cs="Calibri"/>
                <w:bCs/>
                <w:iCs/>
                <w:sz w:val="20"/>
                <w:szCs w:val="20"/>
              </w:rPr>
              <w:t xml:space="preserve"> odpowiedzialno</w:t>
            </w:r>
            <w:r w:rsidRPr="001941B0">
              <w:rPr>
                <w:rFonts w:cs="Aptos"/>
                <w:bCs/>
                <w:iCs/>
                <w:sz w:val="20"/>
                <w:szCs w:val="20"/>
              </w:rPr>
              <w:t>ść</w:t>
            </w:r>
            <w:r w:rsidRPr="001941B0">
              <w:rPr>
                <w:rFonts w:cs="Calibri"/>
                <w:bCs/>
                <w:iCs/>
                <w:sz w:val="20"/>
                <w:szCs w:val="20"/>
              </w:rPr>
              <w:t xml:space="preserve"> za przegl</w:t>
            </w:r>
            <w:r w:rsidRPr="001941B0">
              <w:rPr>
                <w:rFonts w:cs="Aptos"/>
                <w:bCs/>
                <w:iCs/>
                <w:sz w:val="20"/>
                <w:szCs w:val="20"/>
              </w:rPr>
              <w:t>ą</w:t>
            </w:r>
            <w:r w:rsidRPr="001941B0">
              <w:rPr>
                <w:rFonts w:cs="Calibri"/>
                <w:bCs/>
                <w:iCs/>
                <w:sz w:val="20"/>
                <w:szCs w:val="20"/>
              </w:rPr>
              <w:t>d i reakcj</w:t>
            </w:r>
            <w:r w:rsidRPr="001941B0">
              <w:rPr>
                <w:rFonts w:cs="Aptos"/>
                <w:bCs/>
                <w:iCs/>
                <w:sz w:val="20"/>
                <w:szCs w:val="20"/>
              </w:rPr>
              <w:t>ę</w:t>
            </w:r>
            <w:r w:rsidRPr="001941B0">
              <w:rPr>
                <w:rFonts w:cs="Calibri"/>
                <w:bCs/>
                <w:iCs/>
                <w:sz w:val="20"/>
                <w:szCs w:val="20"/>
              </w:rPr>
              <w:t xml:space="preserve"> na dane.</w:t>
            </w:r>
          </w:p>
        </w:tc>
        <w:tc>
          <w:tcPr>
            <w:tcW w:w="2855" w:type="dxa"/>
            <w:shd w:val="clear" w:color="auto" w:fill="FFFFFF" w:themeFill="background1"/>
          </w:tcPr>
          <w:p w14:paraId="563C7D9B" w14:textId="434D6E34" w:rsidR="004C33AD" w:rsidRPr="001941B0" w:rsidRDefault="00880D45" w:rsidP="4F636BAE">
            <w:pPr>
              <w:spacing w:after="0" w:line="240" w:lineRule="auto"/>
              <w:rPr>
                <w:b/>
                <w:sz w:val="20"/>
                <w:szCs w:val="20"/>
              </w:rPr>
            </w:pPr>
            <w:r w:rsidRPr="001941B0">
              <w:rPr>
                <w:b/>
                <w:sz w:val="20"/>
                <w:szCs w:val="20"/>
              </w:rPr>
              <w:t xml:space="preserve">Uwaga </w:t>
            </w:r>
            <w:r w:rsidR="7A1CE873" w:rsidRPr="001941B0">
              <w:rPr>
                <w:b/>
                <w:sz w:val="20"/>
                <w:szCs w:val="20"/>
              </w:rPr>
              <w:t>nieuwzględniona</w:t>
            </w:r>
          </w:p>
          <w:p w14:paraId="02B6EA7C" w14:textId="33A55591" w:rsidR="004C33AD" w:rsidRPr="001941B0" w:rsidRDefault="004C33AD" w:rsidP="4F636BAE">
            <w:pPr>
              <w:spacing w:after="0" w:line="240" w:lineRule="auto"/>
              <w:rPr>
                <w:sz w:val="20"/>
                <w:szCs w:val="20"/>
              </w:rPr>
            </w:pPr>
          </w:p>
          <w:p w14:paraId="6F55C347" w14:textId="4F56401F" w:rsidR="004C33AD" w:rsidRPr="001941B0" w:rsidRDefault="2ED34E8D" w:rsidP="4F636BAE">
            <w:pPr>
              <w:spacing w:after="0" w:line="240" w:lineRule="auto"/>
              <w:rPr>
                <w:sz w:val="20"/>
                <w:szCs w:val="20"/>
              </w:rPr>
            </w:pPr>
            <w:r w:rsidRPr="001941B0">
              <w:rPr>
                <w:sz w:val="20"/>
                <w:szCs w:val="20"/>
              </w:rPr>
              <w:t xml:space="preserve">Kwestia </w:t>
            </w:r>
            <w:r w:rsidR="5A883008" w:rsidRPr="001941B0">
              <w:rPr>
                <w:sz w:val="20"/>
                <w:szCs w:val="20"/>
              </w:rPr>
              <w:t>dostępności</w:t>
            </w:r>
            <w:r w:rsidRPr="001941B0">
              <w:rPr>
                <w:sz w:val="20"/>
                <w:szCs w:val="20"/>
              </w:rPr>
              <w:t xml:space="preserve"> danych zostanie zapewniona</w:t>
            </w:r>
            <w:r w:rsidR="00FE47B3" w:rsidRPr="001941B0">
              <w:rPr>
                <w:sz w:val="20"/>
                <w:szCs w:val="20"/>
              </w:rPr>
              <w:t xml:space="preserve"> w projektowanej regulacji w stopniu wystarczającym.</w:t>
            </w:r>
          </w:p>
          <w:p w14:paraId="798EE5DD" w14:textId="64C0A5C8" w:rsidR="00306E53" w:rsidRPr="001941B0" w:rsidRDefault="00306E53" w:rsidP="006E0CB2">
            <w:pPr>
              <w:autoSpaceDE w:val="0"/>
              <w:autoSpaceDN w:val="0"/>
              <w:adjustRightInd w:val="0"/>
              <w:spacing w:after="0" w:line="240" w:lineRule="auto"/>
              <w:rPr>
                <w:sz w:val="20"/>
                <w:szCs w:val="20"/>
              </w:rPr>
            </w:pPr>
          </w:p>
        </w:tc>
      </w:tr>
      <w:tr w:rsidR="00FC7212" w:rsidRPr="001941B0" w14:paraId="51ECEAF2" w14:textId="77777777" w:rsidTr="7139DBB9">
        <w:tc>
          <w:tcPr>
            <w:tcW w:w="1125" w:type="dxa"/>
            <w:shd w:val="clear" w:color="auto" w:fill="FFFFFF" w:themeFill="background1"/>
          </w:tcPr>
          <w:p w14:paraId="1E04A6A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37B26AC" w14:textId="75E7AA1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16875693" w14:textId="2D57AEC9"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Uzasadnienie</w:t>
            </w:r>
          </w:p>
        </w:tc>
        <w:tc>
          <w:tcPr>
            <w:tcW w:w="5652" w:type="dxa"/>
            <w:shd w:val="clear" w:color="auto" w:fill="FFFFFF" w:themeFill="background1"/>
          </w:tcPr>
          <w:p w14:paraId="00C52CA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Rozszerzenie możliwości upoważniania do wystawiania/dokonywania wpisów w EDM wymaga doprecyzowania ról i kontroli jakości w dokumentach krytycznych klinicznie (e</w:t>
            </w:r>
            <w:r w:rsidRPr="001941B0">
              <w:rPr>
                <w:rFonts w:ascii="Cambria Math" w:hAnsi="Cambria Math" w:cs="Cambria Math"/>
                <w:bCs/>
                <w:iCs/>
                <w:sz w:val="20"/>
                <w:szCs w:val="20"/>
              </w:rPr>
              <w:t>‑</w:t>
            </w:r>
            <w:r w:rsidRPr="001941B0">
              <w:rPr>
                <w:rFonts w:cs="Calibri"/>
                <w:bCs/>
                <w:iCs/>
                <w:sz w:val="20"/>
                <w:szCs w:val="20"/>
              </w:rPr>
              <w:t>KoK, opisy konsultacji).</w:t>
            </w:r>
          </w:p>
          <w:p w14:paraId="274EFCA7"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1C3F616C"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kardiologii jakość wpisu w e</w:t>
            </w:r>
            <w:r w:rsidRPr="001941B0">
              <w:rPr>
                <w:rFonts w:ascii="Cambria Math" w:hAnsi="Cambria Math" w:cs="Cambria Math"/>
                <w:bCs/>
                <w:iCs/>
                <w:sz w:val="20"/>
                <w:szCs w:val="20"/>
              </w:rPr>
              <w:t>‑</w:t>
            </w:r>
            <w:r w:rsidRPr="001941B0">
              <w:rPr>
                <w:rFonts w:cs="Calibri"/>
                <w:bCs/>
                <w:iCs/>
                <w:sz w:val="20"/>
                <w:szCs w:val="20"/>
              </w:rPr>
              <w:t>KoK i dokumentach EDM wp</w:t>
            </w:r>
            <w:r w:rsidRPr="001941B0">
              <w:rPr>
                <w:rFonts w:cs="Aptos"/>
                <w:bCs/>
                <w:iCs/>
                <w:sz w:val="20"/>
                <w:szCs w:val="20"/>
              </w:rPr>
              <w:t>ł</w:t>
            </w:r>
            <w:r w:rsidRPr="001941B0">
              <w:rPr>
                <w:rFonts w:cs="Calibri"/>
                <w:bCs/>
                <w:iCs/>
                <w:sz w:val="20"/>
                <w:szCs w:val="20"/>
              </w:rPr>
              <w:t>ywa na decyzje (kwalifikacja, leczenie, transfer pacjenta do innego oddzia</w:t>
            </w:r>
            <w:r w:rsidRPr="001941B0">
              <w:rPr>
                <w:rFonts w:cs="Aptos"/>
                <w:bCs/>
                <w:iCs/>
                <w:sz w:val="20"/>
                <w:szCs w:val="20"/>
              </w:rPr>
              <w:t>ł</w:t>
            </w:r>
            <w:r w:rsidRPr="001941B0">
              <w:rPr>
                <w:rFonts w:cs="Calibri"/>
                <w:bCs/>
                <w:iCs/>
                <w:sz w:val="20"/>
                <w:szCs w:val="20"/>
              </w:rPr>
              <w:t>u/innej plac</w:t>
            </w:r>
            <w:r w:rsidRPr="001941B0">
              <w:rPr>
                <w:rFonts w:cs="Aptos"/>
                <w:bCs/>
                <w:iCs/>
                <w:sz w:val="20"/>
                <w:szCs w:val="20"/>
              </w:rPr>
              <w:t>ó</w:t>
            </w:r>
            <w:r w:rsidRPr="001941B0">
              <w:rPr>
                <w:rFonts w:cs="Calibri"/>
                <w:bCs/>
                <w:iCs/>
                <w:sz w:val="20"/>
                <w:szCs w:val="20"/>
              </w:rPr>
              <w:t>wki). Niewystarczaj</w:t>
            </w:r>
            <w:r w:rsidRPr="001941B0">
              <w:rPr>
                <w:rFonts w:cs="Aptos"/>
                <w:bCs/>
                <w:iCs/>
                <w:sz w:val="20"/>
                <w:szCs w:val="20"/>
              </w:rPr>
              <w:t>ą</w:t>
            </w:r>
            <w:r w:rsidRPr="001941B0">
              <w:rPr>
                <w:rFonts w:cs="Calibri"/>
                <w:bCs/>
                <w:iCs/>
                <w:sz w:val="20"/>
                <w:szCs w:val="20"/>
              </w:rPr>
              <w:t>ca kontrola mo</w:t>
            </w:r>
            <w:r w:rsidRPr="001941B0">
              <w:rPr>
                <w:rFonts w:cs="Aptos"/>
                <w:bCs/>
                <w:iCs/>
                <w:sz w:val="20"/>
                <w:szCs w:val="20"/>
              </w:rPr>
              <w:t>ż</w:t>
            </w:r>
            <w:r w:rsidRPr="001941B0">
              <w:rPr>
                <w:rFonts w:cs="Calibri"/>
                <w:bCs/>
                <w:iCs/>
                <w:sz w:val="20"/>
                <w:szCs w:val="20"/>
              </w:rPr>
              <w:t>e prowadzi</w:t>
            </w:r>
            <w:r w:rsidRPr="001941B0">
              <w:rPr>
                <w:rFonts w:cs="Aptos"/>
                <w:bCs/>
                <w:iCs/>
                <w:sz w:val="20"/>
                <w:szCs w:val="20"/>
              </w:rPr>
              <w:t>ć</w:t>
            </w:r>
            <w:r w:rsidRPr="001941B0">
              <w:rPr>
                <w:rFonts w:cs="Calibri"/>
                <w:bCs/>
                <w:iCs/>
                <w:sz w:val="20"/>
                <w:szCs w:val="20"/>
              </w:rPr>
              <w:t xml:space="preserve"> do b</w:t>
            </w:r>
            <w:r w:rsidRPr="001941B0">
              <w:rPr>
                <w:rFonts w:cs="Aptos"/>
                <w:bCs/>
                <w:iCs/>
                <w:sz w:val="20"/>
                <w:szCs w:val="20"/>
              </w:rPr>
              <w:t>łę</w:t>
            </w:r>
            <w:r w:rsidRPr="001941B0">
              <w:rPr>
                <w:rFonts w:cs="Calibri"/>
                <w:bCs/>
                <w:iCs/>
                <w:sz w:val="20"/>
                <w:szCs w:val="20"/>
              </w:rPr>
              <w:t>d</w:t>
            </w:r>
            <w:r w:rsidRPr="001941B0">
              <w:rPr>
                <w:rFonts w:cs="Aptos"/>
                <w:bCs/>
                <w:iCs/>
                <w:sz w:val="20"/>
                <w:szCs w:val="20"/>
              </w:rPr>
              <w:t>ó</w:t>
            </w:r>
            <w:r w:rsidRPr="001941B0">
              <w:rPr>
                <w:rFonts w:cs="Calibri"/>
                <w:bCs/>
                <w:iCs/>
                <w:sz w:val="20"/>
                <w:szCs w:val="20"/>
              </w:rPr>
              <w:t>w procesu (np. niezgodność z kluczowymi zaleceniami, brak danych jakościowych).</w:t>
            </w:r>
          </w:p>
          <w:p w14:paraId="4689278A"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16BEBD47"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 xml:space="preserve">Wymaganie:  </w:t>
            </w:r>
          </w:p>
          <w:p w14:paraId="2E700A63" w14:textId="237019EE" w:rsidR="00306E53" w:rsidRPr="001941B0" w:rsidRDefault="00841006" w:rsidP="00841006">
            <w:pPr>
              <w:autoSpaceDE w:val="0"/>
              <w:autoSpaceDN w:val="0"/>
              <w:adjustRightInd w:val="0"/>
              <w:spacing w:after="0" w:line="240" w:lineRule="auto"/>
              <w:rPr>
                <w:rFonts w:cs="Calibri"/>
                <w:bCs/>
                <w:iCs/>
                <w:sz w:val="20"/>
                <w:szCs w:val="20"/>
              </w:rPr>
            </w:pPr>
            <w:r w:rsidRPr="001941B0">
              <w:rPr>
                <w:rFonts w:cs="Calibri"/>
                <w:bCs/>
                <w:iCs/>
                <w:sz w:val="20"/>
                <w:szCs w:val="20"/>
              </w:rPr>
              <w:t xml:space="preserve">1. </w:t>
            </w:r>
            <w:r w:rsidR="00306E53" w:rsidRPr="001941B0">
              <w:rPr>
                <w:rFonts w:cs="Calibri"/>
                <w:bCs/>
                <w:iCs/>
                <w:sz w:val="20"/>
                <w:szCs w:val="20"/>
              </w:rPr>
              <w:t>rejestrowania kto wykonał wpis (osoba upoważniona) i kto go zatwierdził (elektronicznie);</w:t>
            </w:r>
          </w:p>
          <w:p w14:paraId="611100D2" w14:textId="268454B1" w:rsidR="00306E53" w:rsidRPr="001941B0" w:rsidRDefault="00841006" w:rsidP="006E0CB2">
            <w:pPr>
              <w:autoSpaceDE w:val="0"/>
              <w:autoSpaceDN w:val="0"/>
              <w:adjustRightInd w:val="0"/>
              <w:spacing w:after="0" w:line="240" w:lineRule="auto"/>
              <w:rPr>
                <w:rFonts w:cs="Calibri"/>
                <w:sz w:val="20"/>
                <w:szCs w:val="20"/>
              </w:rPr>
            </w:pPr>
            <w:r w:rsidRPr="001941B0">
              <w:rPr>
                <w:rFonts w:cs="Calibri"/>
                <w:bCs/>
                <w:iCs/>
                <w:sz w:val="20"/>
                <w:szCs w:val="20"/>
              </w:rPr>
              <w:t xml:space="preserve">2. </w:t>
            </w:r>
            <w:r w:rsidR="00306E53" w:rsidRPr="001941B0">
              <w:rPr>
                <w:rFonts w:cs="Calibri"/>
                <w:bCs/>
                <w:iCs/>
                <w:sz w:val="20"/>
                <w:szCs w:val="20"/>
              </w:rPr>
              <w:t>minimalnych zasad walidacji danych w e</w:t>
            </w:r>
            <w:r w:rsidR="00306E53" w:rsidRPr="001941B0">
              <w:rPr>
                <w:rFonts w:ascii="Cambria Math" w:hAnsi="Cambria Math" w:cs="Cambria Math"/>
                <w:bCs/>
                <w:iCs/>
                <w:sz w:val="20"/>
                <w:szCs w:val="20"/>
              </w:rPr>
              <w:t>‑</w:t>
            </w:r>
            <w:r w:rsidR="00306E53" w:rsidRPr="001941B0">
              <w:rPr>
                <w:rFonts w:cs="Calibri"/>
                <w:bCs/>
                <w:iCs/>
                <w:sz w:val="20"/>
                <w:szCs w:val="20"/>
              </w:rPr>
              <w:t>KoK (kontrola sp</w:t>
            </w:r>
            <w:r w:rsidR="00306E53" w:rsidRPr="001941B0">
              <w:rPr>
                <w:rFonts w:cs="Aptos"/>
                <w:bCs/>
                <w:iCs/>
                <w:sz w:val="20"/>
                <w:szCs w:val="20"/>
              </w:rPr>
              <w:t>ó</w:t>
            </w:r>
            <w:r w:rsidR="00306E53" w:rsidRPr="001941B0">
              <w:rPr>
                <w:rFonts w:cs="Calibri"/>
                <w:bCs/>
                <w:iCs/>
                <w:sz w:val="20"/>
                <w:szCs w:val="20"/>
              </w:rPr>
              <w:t>jno</w:t>
            </w:r>
            <w:r w:rsidR="00306E53" w:rsidRPr="001941B0">
              <w:rPr>
                <w:rFonts w:cs="Aptos"/>
                <w:bCs/>
                <w:iCs/>
                <w:sz w:val="20"/>
                <w:szCs w:val="20"/>
              </w:rPr>
              <w:t>ś</w:t>
            </w:r>
            <w:r w:rsidR="00306E53" w:rsidRPr="001941B0">
              <w:rPr>
                <w:rFonts w:cs="Calibri"/>
                <w:bCs/>
                <w:iCs/>
                <w:sz w:val="20"/>
                <w:szCs w:val="20"/>
              </w:rPr>
              <w:t>ci).</w:t>
            </w:r>
          </w:p>
        </w:tc>
        <w:tc>
          <w:tcPr>
            <w:tcW w:w="2855" w:type="dxa"/>
            <w:shd w:val="clear" w:color="auto" w:fill="FFFFFF" w:themeFill="background1"/>
          </w:tcPr>
          <w:p w14:paraId="42633E5B" w14:textId="7D24633A" w:rsidR="00306E53" w:rsidRPr="001941B0" w:rsidRDefault="00AE7E04" w:rsidP="006E0CB2">
            <w:pPr>
              <w:autoSpaceDE w:val="0"/>
              <w:autoSpaceDN w:val="0"/>
              <w:adjustRightInd w:val="0"/>
              <w:spacing w:after="0" w:line="240" w:lineRule="auto"/>
              <w:rPr>
                <w:b/>
                <w:bCs/>
                <w:sz w:val="20"/>
                <w:szCs w:val="20"/>
              </w:rPr>
            </w:pPr>
            <w:r w:rsidRPr="001941B0">
              <w:rPr>
                <w:b/>
                <w:bCs/>
                <w:sz w:val="20"/>
                <w:szCs w:val="20"/>
              </w:rPr>
              <w:t>Wyjaśnienie</w:t>
            </w:r>
          </w:p>
          <w:p w14:paraId="645953B3" w14:textId="5EE46180" w:rsidR="00306E53" w:rsidRPr="001941B0" w:rsidRDefault="00AE7E04" w:rsidP="006E0CB2">
            <w:pPr>
              <w:autoSpaceDE w:val="0"/>
              <w:autoSpaceDN w:val="0"/>
              <w:adjustRightInd w:val="0"/>
              <w:spacing w:after="0" w:line="240" w:lineRule="auto"/>
              <w:rPr>
                <w:sz w:val="20"/>
                <w:szCs w:val="20"/>
              </w:rPr>
            </w:pPr>
            <w:r w:rsidRPr="001941B0">
              <w:rPr>
                <w:sz w:val="20"/>
                <w:szCs w:val="20"/>
              </w:rPr>
              <w:t>Jest możliwość identyfikacji osoby dokonującej wpisu w dokumentacji medycznej.</w:t>
            </w:r>
          </w:p>
        </w:tc>
      </w:tr>
      <w:tr w:rsidR="00FC7212" w:rsidRPr="001941B0" w14:paraId="400872D4" w14:textId="77777777" w:rsidTr="7139DBB9">
        <w:tc>
          <w:tcPr>
            <w:tcW w:w="1125" w:type="dxa"/>
            <w:shd w:val="clear" w:color="auto" w:fill="FFFFFF" w:themeFill="background1"/>
          </w:tcPr>
          <w:p w14:paraId="7A9EF38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EF28306" w14:textId="4C94C5E5"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iCs/>
                <w:sz w:val="20"/>
                <w:szCs w:val="20"/>
              </w:rPr>
              <w:t>POROZUMIENIE PRACODAWCÓW OCHRONY ZDROWIA</w:t>
            </w:r>
          </w:p>
        </w:tc>
        <w:tc>
          <w:tcPr>
            <w:tcW w:w="1949" w:type="dxa"/>
            <w:shd w:val="clear" w:color="auto" w:fill="FFFFFF" w:themeFill="background1"/>
          </w:tcPr>
          <w:p w14:paraId="78996181" w14:textId="6CE94F8B"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Uzasadnienie</w:t>
            </w:r>
          </w:p>
        </w:tc>
        <w:tc>
          <w:tcPr>
            <w:tcW w:w="5652" w:type="dxa"/>
            <w:shd w:val="clear" w:color="auto" w:fill="FFFFFF" w:themeFill="background1"/>
          </w:tcPr>
          <w:p w14:paraId="2F3E9A62" w14:textId="2A69C062"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 xml:space="preserve">PPOZ pozytywnie ocenia projektowaną możliwość udostępniania przez jednostkę podległą Ministrowi Zdrowia nieodpłatnego narzędzia do </w:t>
            </w:r>
            <w:r w:rsidRPr="001941B0">
              <w:rPr>
                <w:rFonts w:cs="Calibri"/>
                <w:b/>
                <w:bCs/>
                <w:iCs/>
                <w:sz w:val="20"/>
                <w:szCs w:val="20"/>
              </w:rPr>
              <w:t>digitalizacji dokumentacji medycznej</w:t>
            </w:r>
            <w:r w:rsidRPr="001941B0">
              <w:rPr>
                <w:rFonts w:cs="Calibri"/>
                <w:bCs/>
                <w:iCs/>
                <w:sz w:val="20"/>
                <w:szCs w:val="20"/>
              </w:rPr>
              <w:t xml:space="preserve"> (nowe art. 13b ust. 2a–2c ustawy z dnia 28 kwietnia 2011 r. o systemie informacji w ochronie zdrowia). W uzasadnieniu Projektu wskazuje się przy tym, że: „</w:t>
            </w:r>
            <w:r w:rsidRPr="001941B0">
              <w:rPr>
                <w:rFonts w:cs="Calibri"/>
                <w:bCs/>
                <w:i/>
                <w:iCs/>
                <w:sz w:val="20"/>
                <w:szCs w:val="20"/>
              </w:rPr>
              <w:t xml:space="preserve">W pierwszej kolejności jest planowane stworzenie narzędzia do digitalizacji </w:t>
            </w:r>
            <w:r w:rsidRPr="001941B0">
              <w:rPr>
                <w:rFonts w:cs="Calibri"/>
                <w:bCs/>
                <w:i/>
                <w:iCs/>
                <w:sz w:val="20"/>
                <w:szCs w:val="20"/>
              </w:rPr>
              <w:lastRenderedPageBreak/>
              <w:t>kart informacyjnych z leczenia szpitalnego</w:t>
            </w:r>
            <w:r w:rsidRPr="001941B0">
              <w:rPr>
                <w:rFonts w:cs="Calibri"/>
                <w:bCs/>
                <w:iCs/>
                <w:sz w:val="20"/>
                <w:szCs w:val="20"/>
              </w:rPr>
              <w:t xml:space="preserve">”. PPOZ stoi na stanowisku, że </w:t>
            </w:r>
            <w:r w:rsidRPr="001941B0">
              <w:rPr>
                <w:rFonts w:cs="Calibri"/>
                <w:b/>
                <w:bCs/>
                <w:iCs/>
                <w:sz w:val="20"/>
                <w:szCs w:val="20"/>
              </w:rPr>
              <w:t>narzędzie to jak najszybciej powinno objąć także dokumentację medyczną prowadzoną przez świadczeniodawców POZ.</w:t>
            </w:r>
            <w:r w:rsidRPr="001941B0">
              <w:rPr>
                <w:rFonts w:cs="Calibri"/>
                <w:bCs/>
                <w:iCs/>
                <w:sz w:val="20"/>
                <w:szCs w:val="20"/>
              </w:rPr>
              <w:t xml:space="preserve"> To właśnie w małych placówkach POZ koszty digitalizacji dokumentacji medycznej mogą być bowiem szczególnie dotkliwe.</w:t>
            </w:r>
          </w:p>
        </w:tc>
        <w:tc>
          <w:tcPr>
            <w:tcW w:w="2855" w:type="dxa"/>
            <w:shd w:val="clear" w:color="auto" w:fill="FFFFFF" w:themeFill="background1"/>
          </w:tcPr>
          <w:p w14:paraId="7ABDADA0" w14:textId="654FCE4F" w:rsidR="00306E53" w:rsidRPr="001941B0" w:rsidRDefault="00306E53" w:rsidP="006E0CB2">
            <w:pPr>
              <w:autoSpaceDE w:val="0"/>
              <w:autoSpaceDN w:val="0"/>
              <w:adjustRightInd w:val="0"/>
              <w:spacing w:after="0" w:line="240" w:lineRule="auto"/>
              <w:rPr>
                <w:b/>
                <w:sz w:val="20"/>
                <w:szCs w:val="20"/>
              </w:rPr>
            </w:pPr>
            <w:r w:rsidRPr="001941B0">
              <w:rPr>
                <w:rFonts w:cstheme="minorHAnsi"/>
                <w:b/>
                <w:sz w:val="20"/>
                <w:szCs w:val="20"/>
              </w:rPr>
              <w:lastRenderedPageBreak/>
              <w:t>Uwaga nieuwzględniona</w:t>
            </w:r>
          </w:p>
          <w:p w14:paraId="2A6D8E9A" w14:textId="51D08A96" w:rsidR="00306E53" w:rsidRPr="001941B0" w:rsidRDefault="00306E53" w:rsidP="006E0CB2">
            <w:pPr>
              <w:autoSpaceDE w:val="0"/>
              <w:autoSpaceDN w:val="0"/>
              <w:adjustRightInd w:val="0"/>
              <w:spacing w:after="0" w:line="240" w:lineRule="auto"/>
              <w:rPr>
                <w:sz w:val="20"/>
                <w:szCs w:val="20"/>
              </w:rPr>
            </w:pPr>
          </w:p>
          <w:p w14:paraId="0FB579A5" w14:textId="6EF8525F" w:rsidR="00306E53" w:rsidRPr="001941B0" w:rsidRDefault="00306E53" w:rsidP="006E0CB2">
            <w:pPr>
              <w:autoSpaceDE w:val="0"/>
              <w:autoSpaceDN w:val="0"/>
              <w:adjustRightInd w:val="0"/>
              <w:spacing w:after="0" w:line="240" w:lineRule="auto"/>
              <w:rPr>
                <w:rFonts w:cstheme="minorHAnsi"/>
                <w:sz w:val="20"/>
                <w:szCs w:val="20"/>
              </w:rPr>
            </w:pPr>
            <w:r w:rsidRPr="001941B0">
              <w:rPr>
                <w:sz w:val="20"/>
                <w:szCs w:val="20"/>
              </w:rPr>
              <w:t xml:space="preserve">Poza zakresem projektowanej regulacji. W pierwszej kolejności, zgodnie z </w:t>
            </w:r>
            <w:r w:rsidRPr="001941B0">
              <w:rPr>
                <w:rFonts w:eastAsia="Aptos" w:cs="Aptos"/>
                <w:sz w:val="20"/>
                <w:szCs w:val="20"/>
              </w:rPr>
              <w:t xml:space="preserve">ZAŁĄCZNIKIEM do DECYZJI WYKONAWCZEJ RADY </w:t>
            </w:r>
            <w:r w:rsidRPr="001941B0">
              <w:rPr>
                <w:rFonts w:eastAsia="Aptos" w:cs="Aptos"/>
                <w:sz w:val="20"/>
                <w:szCs w:val="20"/>
              </w:rPr>
              <w:lastRenderedPageBreak/>
              <w:t>zmieniającej decyzję wykonawczą z dnia 17 czerwca 2022 r. w sprawie zatwierdzenia oceny planu odbudowy i zwiększania odporności Polski</w:t>
            </w:r>
            <w:r w:rsidRPr="001941B0">
              <w:rPr>
                <w:sz w:val="20"/>
                <w:szCs w:val="20"/>
              </w:rPr>
              <w:t>, digitalizacją mają być objęte karty informacyjne z leczenia szpitalnego.</w:t>
            </w:r>
          </w:p>
        </w:tc>
      </w:tr>
      <w:tr w:rsidR="00FC7212" w:rsidRPr="001941B0" w14:paraId="6CF2F698" w14:textId="77777777" w:rsidTr="7139DBB9">
        <w:tc>
          <w:tcPr>
            <w:tcW w:w="1125" w:type="dxa"/>
            <w:shd w:val="clear" w:color="auto" w:fill="FFFFFF" w:themeFill="background1"/>
          </w:tcPr>
          <w:p w14:paraId="1F29F839"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282467F1" w14:textId="634871CC"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17B45C19" w14:textId="3AB18AF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tc>
        <w:tc>
          <w:tcPr>
            <w:tcW w:w="5652" w:type="dxa"/>
            <w:shd w:val="clear" w:color="auto" w:fill="FFFFFF" w:themeFill="background1"/>
          </w:tcPr>
          <w:p w14:paraId="6A8760AE" w14:textId="7526680D"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PUI – „propozycja opisu” (uzasadnienie projektu) – AI wspierająca analizę badań obrazowych i propozycję opisu. </w:t>
            </w:r>
            <w:r w:rsidRPr="001941B0">
              <w:rPr>
                <w:sz w:val="20"/>
                <w:szCs w:val="20"/>
              </w:rPr>
              <w:t xml:space="preserve"> </w:t>
            </w:r>
            <w:r w:rsidRPr="001941B0">
              <w:rPr>
                <w:rFonts w:cs="Calibri"/>
                <w:sz w:val="20"/>
                <w:szCs w:val="20"/>
              </w:rPr>
              <w:t>Brak jednoznacznego podkreślenia, że AI jest wyłącznie narzędziem wspomagającym, a odpowiedzialność za opis pozostaje po stronie lekarza specjalisty radiologii i diagnostyki obrazowej lub lekarza specjalizującego się w radiologii i diagnostyce obrazowej.</w:t>
            </w:r>
          </w:p>
          <w:p w14:paraId="22E9D508" w14:textId="1210F68A" w:rsidR="00306E53" w:rsidRPr="001941B0" w:rsidRDefault="00306E53" w:rsidP="006E0CB2">
            <w:pPr>
              <w:autoSpaceDE w:val="0"/>
              <w:autoSpaceDN w:val="0"/>
              <w:adjustRightInd w:val="0"/>
              <w:spacing w:after="0" w:line="240" w:lineRule="auto"/>
              <w:rPr>
                <w:rFonts w:cs="Calibri"/>
                <w:sz w:val="20"/>
                <w:szCs w:val="20"/>
              </w:rPr>
            </w:pPr>
            <w:r w:rsidRPr="001941B0">
              <w:rPr>
                <w:rFonts w:cs="Calibri"/>
                <w:b/>
                <w:bCs/>
                <w:sz w:val="20"/>
                <w:szCs w:val="20"/>
              </w:rPr>
              <w:t>Propozycja:</w:t>
            </w:r>
            <w:r w:rsidRPr="001941B0">
              <w:rPr>
                <w:rFonts w:cs="Calibri"/>
                <w:sz w:val="20"/>
                <w:szCs w:val="20"/>
              </w:rPr>
              <w:t xml:space="preserve"> </w:t>
            </w:r>
            <w:r w:rsidRPr="001941B0">
              <w:rPr>
                <w:sz w:val="20"/>
                <w:szCs w:val="20"/>
              </w:rPr>
              <w:t>Wprowadzić</w:t>
            </w:r>
            <w:r w:rsidRPr="001941B0">
              <w:rPr>
                <w:rFonts w:cs="Calibri"/>
                <w:sz w:val="20"/>
                <w:szCs w:val="20"/>
              </w:rPr>
              <w:t xml:space="preserve"> zasadę: wynik narzędzia ma charakter pomocniczy; w EDM powinno dać się odnotować użycie narzędzia (wersja, wynik, data) bez przenoszenia odpowiedzialności na system.</w:t>
            </w:r>
          </w:p>
          <w:p w14:paraId="7D3DF2DC" w14:textId="42062A9F" w:rsidR="00306E53" w:rsidRPr="001941B0" w:rsidRDefault="00306E53" w:rsidP="006E0CB2">
            <w:pPr>
              <w:autoSpaceDE w:val="0"/>
              <w:autoSpaceDN w:val="0"/>
              <w:adjustRightInd w:val="0"/>
              <w:spacing w:after="0" w:line="240" w:lineRule="auto"/>
              <w:rPr>
                <w:rFonts w:cs="Calibri"/>
                <w:sz w:val="20"/>
                <w:szCs w:val="20"/>
              </w:rPr>
            </w:pPr>
            <w:r w:rsidRPr="001941B0">
              <w:rPr>
                <w:rFonts w:cs="Calibri"/>
                <w:b/>
                <w:bCs/>
                <w:sz w:val="20"/>
                <w:szCs w:val="20"/>
              </w:rPr>
              <w:t>Uzasadnienie:</w:t>
            </w:r>
            <w:r w:rsidRPr="001941B0">
              <w:rPr>
                <w:rFonts w:cs="Calibri"/>
                <w:sz w:val="20"/>
                <w:szCs w:val="20"/>
              </w:rPr>
              <w:t xml:space="preserve"> </w:t>
            </w:r>
            <w:r w:rsidRPr="001941B0">
              <w:rPr>
                <w:sz w:val="20"/>
                <w:szCs w:val="20"/>
              </w:rPr>
              <w:t>Ogranicza</w:t>
            </w:r>
            <w:r w:rsidRPr="001941B0">
              <w:rPr>
                <w:rFonts w:cs="Calibri"/>
                <w:sz w:val="20"/>
                <w:szCs w:val="20"/>
              </w:rPr>
              <w:t xml:space="preserve"> ryzyko prawne i organizacyjne oraz wspiera bezpieczeństwo pacjenta i wiarygodność procesu diagnostycznego.</w:t>
            </w:r>
          </w:p>
        </w:tc>
        <w:tc>
          <w:tcPr>
            <w:tcW w:w="2855" w:type="dxa"/>
            <w:shd w:val="clear" w:color="auto" w:fill="FFFFFF" w:themeFill="background1"/>
          </w:tcPr>
          <w:p w14:paraId="76B123A5" w14:textId="21CDD3C9" w:rsidR="00306E53" w:rsidRPr="001941B0" w:rsidRDefault="00306E53" w:rsidP="006E0CB2">
            <w:pPr>
              <w:autoSpaceDE w:val="0"/>
              <w:autoSpaceDN w:val="0"/>
              <w:adjustRightInd w:val="0"/>
              <w:spacing w:after="0" w:line="240" w:lineRule="auto"/>
              <w:rPr>
                <w:b/>
                <w:sz w:val="20"/>
                <w:szCs w:val="20"/>
              </w:rPr>
            </w:pPr>
            <w:r w:rsidRPr="001941B0">
              <w:rPr>
                <w:b/>
                <w:sz w:val="20"/>
                <w:szCs w:val="20"/>
              </w:rPr>
              <w:t>Uwaga nieuwzględniona</w:t>
            </w:r>
          </w:p>
          <w:p w14:paraId="3FB4CB18" w14:textId="77777777" w:rsidR="00872846" w:rsidRPr="001941B0" w:rsidRDefault="00306E53" w:rsidP="006E0CB2">
            <w:pPr>
              <w:autoSpaceDE w:val="0"/>
              <w:autoSpaceDN w:val="0"/>
              <w:adjustRightInd w:val="0"/>
              <w:spacing w:after="0" w:line="240" w:lineRule="auto"/>
              <w:rPr>
                <w:sz w:val="20"/>
                <w:szCs w:val="20"/>
              </w:rPr>
            </w:pPr>
            <w:r w:rsidRPr="001941B0">
              <w:rPr>
                <w:sz w:val="20"/>
                <w:szCs w:val="20"/>
              </w:rPr>
              <w:t xml:space="preserve">PUI jest narzędziem ICT, pośredniczącym w przesyłaniu danych. </w:t>
            </w:r>
          </w:p>
          <w:p w14:paraId="5486B05F" w14:textId="77777777" w:rsidR="00C07BDD" w:rsidRPr="001941B0" w:rsidRDefault="00C07BDD" w:rsidP="006E0CB2">
            <w:pPr>
              <w:autoSpaceDE w:val="0"/>
              <w:autoSpaceDN w:val="0"/>
              <w:adjustRightInd w:val="0"/>
              <w:spacing w:after="0" w:line="240" w:lineRule="auto"/>
              <w:rPr>
                <w:sz w:val="20"/>
                <w:szCs w:val="20"/>
              </w:rPr>
            </w:pPr>
          </w:p>
          <w:p w14:paraId="4C9AE293" w14:textId="47260A1D" w:rsidR="00306E53" w:rsidRPr="001941B0" w:rsidRDefault="00306E53" w:rsidP="006E0CB2">
            <w:pPr>
              <w:autoSpaceDE w:val="0"/>
              <w:autoSpaceDN w:val="0"/>
              <w:adjustRightInd w:val="0"/>
              <w:spacing w:after="0" w:line="240" w:lineRule="auto"/>
              <w:rPr>
                <w:sz w:val="20"/>
                <w:szCs w:val="20"/>
              </w:rPr>
            </w:pPr>
          </w:p>
        </w:tc>
      </w:tr>
      <w:tr w:rsidR="00FC7212" w:rsidRPr="001941B0" w14:paraId="0D67491A" w14:textId="77777777" w:rsidTr="7139DBB9">
        <w:tc>
          <w:tcPr>
            <w:tcW w:w="1125" w:type="dxa"/>
            <w:shd w:val="clear" w:color="auto" w:fill="FFFFFF" w:themeFill="background1"/>
          </w:tcPr>
          <w:p w14:paraId="113D2399"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718B65EB" w14:textId="63B26D96"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177DD584" w14:textId="77777777" w:rsidR="00872846"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w:t>
            </w:r>
          </w:p>
          <w:p w14:paraId="0BD1D133" w14:textId="09B3D0B2" w:rsidR="00306E53" w:rsidRPr="001941B0"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5AE56A33"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W praktyce potrzebne są minimalne wymagania: testy bezpieczeństwa, zarządzanie kluczami, monitoring, backup, logi, wymagania dla integratorów. </w:t>
            </w:r>
            <w:r w:rsidRPr="001941B0">
              <w:rPr>
                <w:sz w:val="20"/>
                <w:szCs w:val="20"/>
              </w:rPr>
              <w:t xml:space="preserve"> </w:t>
            </w:r>
            <w:r w:rsidRPr="001941B0">
              <w:rPr>
                <w:rFonts w:cs="Calibri"/>
                <w:sz w:val="20"/>
                <w:szCs w:val="20"/>
              </w:rPr>
              <w:t>Wnieść o publikację minimalnych wymogów bezpieczeństwa (standard/wytyczne) dla PUI i usług transgranicznych, w tym wymagania dla integracji HIS/RIS/PACS i cyklicznych testów. Wynik AI niezaakceptowany przez lekarza specjalistę radiologii i diagnostyki obrazowej lub lekarza specjalizującego się w radiologii i diagnostyce obrazowej nie jest zapisany PACsie i wydawany pacjentowi.</w:t>
            </w:r>
          </w:p>
          <w:p w14:paraId="7E90566F" w14:textId="64CF37CB"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Propozycja: </w:t>
            </w:r>
            <w:r w:rsidRPr="001941B0">
              <w:rPr>
                <w:sz w:val="20"/>
                <w:szCs w:val="20"/>
              </w:rPr>
              <w:t xml:space="preserve">  </w:t>
            </w:r>
            <w:r w:rsidRPr="001941B0">
              <w:rPr>
                <w:rFonts w:cs="Calibri"/>
                <w:sz w:val="20"/>
                <w:szCs w:val="20"/>
              </w:rPr>
              <w:t xml:space="preserve">Wnieść o publikację minimalnych wymogów bezpieczeństwa (standard/wytyczne) dla PUI i usług transgranicznych, w tym wymagania dla integracji </w:t>
            </w:r>
            <w:r w:rsidRPr="001941B0">
              <w:rPr>
                <w:rFonts w:cs="Calibri"/>
                <w:sz w:val="20"/>
                <w:szCs w:val="20"/>
              </w:rPr>
              <w:lastRenderedPageBreak/>
              <w:t>HIS/RIS/PACS i cyklicznych testów. Wynik AI niezaakceptowany przez lekarza specjalistę radiologii i diagnostyki obrazowej lub lekarza specjalizującego się w radiologii i diagnostyce obrazowej nie jest zapisany PACsie i wydawany pacjentowi.</w:t>
            </w:r>
          </w:p>
          <w:p w14:paraId="0B534981" w14:textId="3ECDB030"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Uzasadnienie: </w:t>
            </w:r>
            <w:r w:rsidRPr="001941B0">
              <w:rPr>
                <w:sz w:val="20"/>
                <w:szCs w:val="20"/>
              </w:rPr>
              <w:t xml:space="preserve"> </w:t>
            </w:r>
            <w:r w:rsidRPr="001941B0">
              <w:rPr>
                <w:rFonts w:cs="Calibri"/>
                <w:sz w:val="20"/>
                <w:szCs w:val="20"/>
              </w:rPr>
              <w:t>Ujednolica poziom bezpieczeństwa w kraju i ogranicza ryzyko incydentów wrażliwych danych medycznych. Nieprzekazywanie błędnych wyników AI pacjentowi, gdyż zostać przekazany pacjentowi, gdyz może to być mylące dla lekarza prowadzącego.</w:t>
            </w:r>
          </w:p>
        </w:tc>
        <w:tc>
          <w:tcPr>
            <w:tcW w:w="2855" w:type="dxa"/>
            <w:shd w:val="clear" w:color="auto" w:fill="FFFFFF" w:themeFill="background1"/>
          </w:tcPr>
          <w:p w14:paraId="7FC7C107" w14:textId="750CC21C" w:rsidR="007138FD" w:rsidRPr="001941B0" w:rsidRDefault="00A10EAA"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Uwaga nieuwzględniona</w:t>
            </w:r>
          </w:p>
          <w:p w14:paraId="15378147" w14:textId="4CD7B278" w:rsidR="00306E53" w:rsidRPr="001941B0" w:rsidRDefault="00A75232" w:rsidP="006E0CB2">
            <w:pPr>
              <w:autoSpaceDE w:val="0"/>
              <w:autoSpaceDN w:val="0"/>
              <w:adjustRightInd w:val="0"/>
              <w:spacing w:after="0" w:line="240" w:lineRule="auto"/>
              <w:rPr>
                <w:rFonts w:cstheme="minorHAnsi"/>
                <w:sz w:val="20"/>
                <w:szCs w:val="20"/>
              </w:rPr>
            </w:pPr>
            <w:r w:rsidRPr="001941B0">
              <w:rPr>
                <w:rFonts w:cstheme="minorHAnsi"/>
                <w:sz w:val="20"/>
                <w:szCs w:val="20"/>
              </w:rPr>
              <w:t>Wynika to z odrębnych przepisów</w:t>
            </w:r>
            <w:r w:rsidR="002F2931" w:rsidRPr="001941B0">
              <w:rPr>
                <w:rFonts w:cstheme="minorHAnsi"/>
                <w:sz w:val="20"/>
                <w:szCs w:val="20"/>
              </w:rPr>
              <w:t>.</w:t>
            </w:r>
          </w:p>
        </w:tc>
      </w:tr>
      <w:tr w:rsidR="00952A06" w:rsidRPr="001941B0" w14:paraId="49430C44" w14:textId="77777777" w:rsidTr="00DE7BB4">
        <w:tc>
          <w:tcPr>
            <w:tcW w:w="14316" w:type="dxa"/>
            <w:gridSpan w:val="5"/>
            <w:shd w:val="clear" w:color="auto" w:fill="D1D1D1" w:themeFill="background2" w:themeFillShade="E6"/>
          </w:tcPr>
          <w:p w14:paraId="4697D13E" w14:textId="7DE8C17D" w:rsidR="00306E53" w:rsidRPr="001941B0" w:rsidRDefault="00306E53" w:rsidP="006E0CB2">
            <w:pPr>
              <w:autoSpaceDE w:val="0"/>
              <w:autoSpaceDN w:val="0"/>
              <w:adjustRightInd w:val="0"/>
              <w:spacing w:after="0" w:line="240" w:lineRule="auto"/>
              <w:rPr>
                <w:rFonts w:cstheme="minorHAnsi"/>
                <w:b/>
                <w:sz w:val="20"/>
                <w:szCs w:val="20"/>
              </w:rPr>
            </w:pPr>
            <w:bookmarkStart w:id="14" w:name="Uwagi_do_OSR"/>
            <w:r w:rsidRPr="001941B0">
              <w:rPr>
                <w:rFonts w:cstheme="minorHAnsi"/>
                <w:b/>
                <w:sz w:val="20"/>
                <w:szCs w:val="20"/>
              </w:rPr>
              <w:t>Uwagi do OSR</w:t>
            </w:r>
            <w:bookmarkEnd w:id="14"/>
          </w:p>
        </w:tc>
      </w:tr>
      <w:tr w:rsidR="00FC7212" w:rsidRPr="001941B0" w14:paraId="07FB7B25" w14:textId="77777777" w:rsidTr="7139DBB9">
        <w:tc>
          <w:tcPr>
            <w:tcW w:w="1125" w:type="dxa"/>
            <w:shd w:val="clear" w:color="auto" w:fill="FFFFFF" w:themeFill="background1"/>
          </w:tcPr>
          <w:p w14:paraId="1904ED19"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D089106" w14:textId="46E501E2"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Fundacja Zdrowie i Edukacja Ad Meritum</w:t>
            </w:r>
          </w:p>
        </w:tc>
        <w:tc>
          <w:tcPr>
            <w:tcW w:w="1949" w:type="dxa"/>
            <w:shd w:val="clear" w:color="auto" w:fill="FFFFFF" w:themeFill="background1"/>
          </w:tcPr>
          <w:p w14:paraId="7CB0952D" w14:textId="5A8621C1"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tc>
        <w:tc>
          <w:tcPr>
            <w:tcW w:w="5652" w:type="dxa"/>
            <w:shd w:val="clear" w:color="auto" w:fill="FFFFFF" w:themeFill="background1"/>
          </w:tcPr>
          <w:p w14:paraId="1D57E53F" w14:textId="66C9BD1B"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W kosztorysach związanych z projektem nie znajdujemy osobnej kategorii związanej z informacją, promocją i działaniami PR związanymi z projektów. Tak wielki projekt trzeba odpowiednio zakomunikować, ale też opracować strategię i plany na wypadek sytuacji kryzysowych związanych z wprowadzeniem projektu – niechęć środowiska medycznego do nowych „wynalazków”, obawy pacjentów o to jak się odnajdą w nowym świecie e-zdrowia, czy wpadki techniczne.</w:t>
            </w:r>
          </w:p>
        </w:tc>
        <w:tc>
          <w:tcPr>
            <w:tcW w:w="2855" w:type="dxa"/>
            <w:shd w:val="clear" w:color="auto" w:fill="FFFFFF" w:themeFill="background1"/>
          </w:tcPr>
          <w:p w14:paraId="1DC47EFC" w14:textId="219C2A46" w:rsidR="00306E53" w:rsidRPr="001941B0" w:rsidRDefault="00C07BDD" w:rsidP="006E0CB2">
            <w:pPr>
              <w:autoSpaceDE w:val="0"/>
              <w:autoSpaceDN w:val="0"/>
              <w:adjustRightInd w:val="0"/>
              <w:spacing w:after="0" w:line="240" w:lineRule="auto"/>
              <w:rPr>
                <w:b/>
                <w:sz w:val="20"/>
                <w:szCs w:val="20"/>
              </w:rPr>
            </w:pPr>
            <w:r w:rsidRPr="001941B0">
              <w:rPr>
                <w:b/>
                <w:sz w:val="20"/>
                <w:szCs w:val="20"/>
              </w:rPr>
              <w:t>Wyjaśnienie</w:t>
            </w:r>
          </w:p>
          <w:p w14:paraId="76A4E5CE" w14:textId="42258431" w:rsidR="00306E53" w:rsidRPr="001941B0" w:rsidRDefault="00306E53" w:rsidP="006E0CB2">
            <w:pPr>
              <w:spacing w:after="0" w:line="240" w:lineRule="auto"/>
              <w:rPr>
                <w:sz w:val="20"/>
                <w:szCs w:val="20"/>
              </w:rPr>
            </w:pPr>
          </w:p>
          <w:p w14:paraId="64EA1DF8" w14:textId="111E62C7" w:rsidR="00306E53" w:rsidRPr="001941B0" w:rsidRDefault="00306E53" w:rsidP="006E0CB2">
            <w:pPr>
              <w:spacing w:after="0" w:line="240" w:lineRule="auto"/>
              <w:rPr>
                <w:sz w:val="20"/>
                <w:szCs w:val="20"/>
              </w:rPr>
            </w:pPr>
            <w:r w:rsidRPr="001941B0">
              <w:rPr>
                <w:sz w:val="20"/>
                <w:szCs w:val="20"/>
              </w:rPr>
              <w:t xml:space="preserve">Promocja i działania informacyjne zostaną sfinansowane </w:t>
            </w:r>
            <w:r w:rsidR="00FE47B3" w:rsidRPr="001941B0">
              <w:rPr>
                <w:sz w:val="20"/>
                <w:szCs w:val="20"/>
              </w:rPr>
              <w:t>w ramach</w:t>
            </w:r>
            <w:r w:rsidRPr="001941B0">
              <w:rPr>
                <w:sz w:val="20"/>
                <w:szCs w:val="20"/>
              </w:rPr>
              <w:t xml:space="preserve"> budżetu </w:t>
            </w:r>
            <w:r w:rsidR="00FE47B3" w:rsidRPr="001941B0">
              <w:rPr>
                <w:sz w:val="20"/>
                <w:szCs w:val="20"/>
              </w:rPr>
              <w:t xml:space="preserve">projektu „E-zdrowie” realizowanego przez </w:t>
            </w:r>
            <w:r w:rsidRPr="001941B0">
              <w:rPr>
                <w:sz w:val="20"/>
                <w:szCs w:val="20"/>
              </w:rPr>
              <w:t xml:space="preserve">CeZ </w:t>
            </w:r>
            <w:r w:rsidR="00FE47B3" w:rsidRPr="001941B0">
              <w:rPr>
                <w:sz w:val="20"/>
                <w:szCs w:val="20"/>
              </w:rPr>
              <w:t>ze środków</w:t>
            </w:r>
            <w:r w:rsidRPr="001941B0">
              <w:rPr>
                <w:sz w:val="20"/>
                <w:szCs w:val="20"/>
              </w:rPr>
              <w:t xml:space="preserve"> KPO.</w:t>
            </w:r>
          </w:p>
          <w:p w14:paraId="405C0A67" w14:textId="73AEE76B" w:rsidR="00306E53" w:rsidRPr="001941B0" w:rsidRDefault="00306E53" w:rsidP="0044265C">
            <w:pPr>
              <w:autoSpaceDE w:val="0"/>
              <w:autoSpaceDN w:val="0"/>
              <w:adjustRightInd w:val="0"/>
              <w:spacing w:after="0" w:line="240" w:lineRule="auto"/>
              <w:rPr>
                <w:sz w:val="20"/>
                <w:szCs w:val="20"/>
              </w:rPr>
            </w:pPr>
          </w:p>
          <w:p w14:paraId="3085D771" w14:textId="60B1F9E2" w:rsidR="00306E53" w:rsidRPr="001941B0" w:rsidRDefault="00306E53" w:rsidP="006E0CB2">
            <w:pPr>
              <w:spacing w:after="0" w:line="240" w:lineRule="auto"/>
              <w:rPr>
                <w:sz w:val="20"/>
                <w:szCs w:val="20"/>
              </w:rPr>
            </w:pPr>
          </w:p>
          <w:p w14:paraId="16483A8E" w14:textId="77777777" w:rsidR="00306E53" w:rsidRPr="001941B0" w:rsidRDefault="00306E53" w:rsidP="006E0CB2">
            <w:pPr>
              <w:autoSpaceDE w:val="0"/>
              <w:autoSpaceDN w:val="0"/>
              <w:adjustRightInd w:val="0"/>
              <w:spacing w:after="0" w:line="240" w:lineRule="auto"/>
              <w:rPr>
                <w:rFonts w:cstheme="minorHAnsi"/>
                <w:bCs/>
                <w:iCs/>
                <w:sz w:val="20"/>
                <w:szCs w:val="20"/>
              </w:rPr>
            </w:pPr>
          </w:p>
          <w:p w14:paraId="50026C24" w14:textId="15D2EDC3" w:rsidR="00306E53" w:rsidRPr="001941B0" w:rsidRDefault="00306E53" w:rsidP="006E0CB2">
            <w:pPr>
              <w:autoSpaceDE w:val="0"/>
              <w:autoSpaceDN w:val="0"/>
              <w:adjustRightInd w:val="0"/>
              <w:spacing w:after="0" w:line="240" w:lineRule="auto"/>
              <w:rPr>
                <w:sz w:val="20"/>
                <w:szCs w:val="20"/>
              </w:rPr>
            </w:pPr>
          </w:p>
        </w:tc>
      </w:tr>
      <w:tr w:rsidR="00FC7212" w:rsidRPr="001941B0" w14:paraId="2C94C1E6" w14:textId="77777777" w:rsidTr="7139DBB9">
        <w:tc>
          <w:tcPr>
            <w:tcW w:w="1125" w:type="dxa"/>
            <w:shd w:val="clear" w:color="auto" w:fill="FFFFFF" w:themeFill="background1"/>
          </w:tcPr>
          <w:p w14:paraId="1CD680FF"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6C1F8648" w14:textId="4C06C011"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iCs/>
                <w:sz w:val="20"/>
                <w:szCs w:val="20"/>
              </w:rPr>
              <w:t>Konsultant Krajowy w dziedzinie Kardiologii</w:t>
            </w:r>
          </w:p>
        </w:tc>
        <w:tc>
          <w:tcPr>
            <w:tcW w:w="1949" w:type="dxa"/>
            <w:shd w:val="clear" w:color="auto" w:fill="FFFFFF" w:themeFill="background1"/>
          </w:tcPr>
          <w:p w14:paraId="106F7B95" w14:textId="0200E332"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tc>
        <w:tc>
          <w:tcPr>
            <w:tcW w:w="5652" w:type="dxa"/>
            <w:shd w:val="clear" w:color="auto" w:fill="FFFFFF" w:themeFill="background1"/>
          </w:tcPr>
          <w:p w14:paraId="25FD02B2" w14:textId="14CFD078"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Niespójność terminologiczna („skrócona karta zdrowia pacjenta” vs „karta pacjenta”) w OSR względem projektu/uzasadnienia.</w:t>
            </w:r>
          </w:p>
          <w:p w14:paraId="765D3137"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Uzasadnienie uwagi:</w:t>
            </w:r>
          </w:p>
          <w:p w14:paraId="703600EA"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Ryzyko błędnej implementacji IT i interpretacji klinicznej; w kardiologii (stany nagłe zagrożenia życia, leki ratujące życie) może to prowadzić do mylenia dokumentów oraz opóźnień we wdrożeniu/utrzymaniu spójności danych.</w:t>
            </w:r>
          </w:p>
          <w:p w14:paraId="62CE0D9D"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Propozycje rozwiązań:</w:t>
            </w:r>
          </w:p>
          <w:p w14:paraId="1FE4CDAF" w14:textId="15ED1C93"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Ujednolicić nazewnictwo w całym pakiecie dokumentów: jedna nazwa ustawowa + ewentualny synonim w nawiasie; spójnie w OSR, uzasadnieniu i projekcie.</w:t>
            </w:r>
          </w:p>
        </w:tc>
        <w:tc>
          <w:tcPr>
            <w:tcW w:w="2855" w:type="dxa"/>
            <w:shd w:val="clear" w:color="auto" w:fill="FFFFFF" w:themeFill="background1"/>
          </w:tcPr>
          <w:p w14:paraId="67F25E31" w14:textId="44DE2001" w:rsidR="00306E53" w:rsidRPr="001941B0" w:rsidRDefault="00306E53" w:rsidP="2C69C2F7">
            <w:pPr>
              <w:autoSpaceDE w:val="0"/>
              <w:autoSpaceDN w:val="0"/>
              <w:adjustRightInd w:val="0"/>
              <w:spacing w:after="0" w:line="240" w:lineRule="auto"/>
              <w:rPr>
                <w:b/>
                <w:bCs/>
                <w:sz w:val="20"/>
                <w:szCs w:val="20"/>
              </w:rPr>
            </w:pPr>
            <w:r w:rsidRPr="001941B0">
              <w:rPr>
                <w:b/>
                <w:sz w:val="20"/>
                <w:szCs w:val="20"/>
              </w:rPr>
              <w:t>Uwaga uwzględniona</w:t>
            </w:r>
          </w:p>
          <w:p w14:paraId="27B38226" w14:textId="66624997" w:rsidR="00306E53" w:rsidRPr="001941B0" w:rsidRDefault="00306E53" w:rsidP="006E0CB2">
            <w:pPr>
              <w:autoSpaceDE w:val="0"/>
              <w:autoSpaceDN w:val="0"/>
              <w:adjustRightInd w:val="0"/>
              <w:spacing w:after="0" w:line="240" w:lineRule="auto"/>
              <w:rPr>
                <w:sz w:val="20"/>
                <w:szCs w:val="20"/>
              </w:rPr>
            </w:pPr>
          </w:p>
        </w:tc>
      </w:tr>
      <w:tr w:rsidR="00FC7212" w:rsidRPr="001941B0" w14:paraId="4457857E" w14:textId="77777777" w:rsidTr="7139DBB9">
        <w:tc>
          <w:tcPr>
            <w:tcW w:w="1125" w:type="dxa"/>
            <w:shd w:val="clear" w:color="auto" w:fill="FFFFFF" w:themeFill="background1"/>
          </w:tcPr>
          <w:p w14:paraId="51550776"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60C1042" w14:textId="05D342BF"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57D89E60" w14:textId="65685B46"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tc>
        <w:tc>
          <w:tcPr>
            <w:tcW w:w="5652" w:type="dxa"/>
            <w:shd w:val="clear" w:color="auto" w:fill="FFFFFF" w:themeFill="background1"/>
          </w:tcPr>
          <w:p w14:paraId="795ACE12"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Ryzyko dublowania telemonitoringu i rozdzielenia strumieni danych (SDOM vs proces kardiologiczny KSK/e</w:t>
            </w:r>
            <w:r w:rsidRPr="001941B0">
              <w:rPr>
                <w:rFonts w:ascii="Cambria Math" w:hAnsi="Cambria Math" w:cs="Cambria Math"/>
                <w:bCs/>
                <w:iCs/>
                <w:sz w:val="20"/>
                <w:szCs w:val="20"/>
              </w:rPr>
              <w:t>‑</w:t>
            </w:r>
            <w:r w:rsidRPr="001941B0">
              <w:rPr>
                <w:rFonts w:cs="Calibri"/>
                <w:bCs/>
                <w:iCs/>
                <w:sz w:val="20"/>
                <w:szCs w:val="20"/>
              </w:rPr>
              <w:t>KoK/USP) bez jasnych regu</w:t>
            </w:r>
            <w:r w:rsidRPr="001941B0">
              <w:rPr>
                <w:rFonts w:cs="Aptos"/>
                <w:bCs/>
                <w:iCs/>
                <w:sz w:val="20"/>
                <w:szCs w:val="20"/>
              </w:rPr>
              <w:t>ł</w:t>
            </w:r>
            <w:r w:rsidRPr="001941B0">
              <w:rPr>
                <w:rFonts w:cs="Calibri"/>
                <w:bCs/>
                <w:iCs/>
                <w:sz w:val="20"/>
                <w:szCs w:val="20"/>
              </w:rPr>
              <w:t xml:space="preserve"> integracji.</w:t>
            </w:r>
          </w:p>
          <w:p w14:paraId="2BA080CD"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477A007B"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W kardiologii telemonitoring (HF, arytmie, urządzenia, ciśnienie, objawy) wymaga szybkiej reakcji i przypisania odpowiedzialności. Dwutorowość danych grozi przeoczeniem alertów i brakiem ciągłości w ścieżce USP.</w:t>
            </w:r>
          </w:p>
          <w:p w14:paraId="2E713784"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2C40A005" w14:textId="486B8BB5"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Dodać wymóg interoperacyjności: dane SDOM istotne klinicznie w ChUK muszą być dostępne w procesie KSK (np. zasilenie e</w:t>
            </w:r>
            <w:r w:rsidRPr="001941B0">
              <w:rPr>
                <w:rFonts w:ascii="Cambria Math" w:hAnsi="Cambria Math" w:cs="Cambria Math"/>
                <w:bCs/>
                <w:iCs/>
                <w:sz w:val="20"/>
                <w:szCs w:val="20"/>
              </w:rPr>
              <w:t>‑</w:t>
            </w:r>
            <w:r w:rsidRPr="001941B0">
              <w:rPr>
                <w:rFonts w:cs="Calibri"/>
                <w:bCs/>
                <w:iCs/>
                <w:sz w:val="20"/>
                <w:szCs w:val="20"/>
              </w:rPr>
              <w:t>KoK lub jednoznaczne odwo</w:t>
            </w:r>
            <w:r w:rsidRPr="001941B0">
              <w:rPr>
                <w:rFonts w:cs="Aptos"/>
                <w:bCs/>
                <w:iCs/>
                <w:sz w:val="20"/>
                <w:szCs w:val="20"/>
              </w:rPr>
              <w:t>ł</w:t>
            </w:r>
            <w:r w:rsidRPr="001941B0">
              <w:rPr>
                <w:rFonts w:cs="Calibri"/>
                <w:bCs/>
                <w:iCs/>
                <w:sz w:val="20"/>
                <w:szCs w:val="20"/>
              </w:rPr>
              <w:t>anie w e</w:t>
            </w:r>
            <w:r w:rsidRPr="001941B0">
              <w:rPr>
                <w:rFonts w:ascii="Cambria Math" w:hAnsi="Cambria Math" w:cs="Cambria Math"/>
                <w:bCs/>
                <w:iCs/>
                <w:sz w:val="20"/>
                <w:szCs w:val="20"/>
              </w:rPr>
              <w:t>‑</w:t>
            </w:r>
            <w:r w:rsidRPr="001941B0">
              <w:rPr>
                <w:rFonts w:cs="Calibri"/>
                <w:bCs/>
                <w:iCs/>
                <w:sz w:val="20"/>
                <w:szCs w:val="20"/>
              </w:rPr>
              <w:t>KoK); okre</w:t>
            </w:r>
            <w:r w:rsidRPr="001941B0">
              <w:rPr>
                <w:rFonts w:cs="Aptos"/>
                <w:bCs/>
                <w:iCs/>
                <w:sz w:val="20"/>
                <w:szCs w:val="20"/>
              </w:rPr>
              <w:t>ś</w:t>
            </w:r>
            <w:r w:rsidRPr="001941B0">
              <w:rPr>
                <w:rFonts w:cs="Calibri"/>
                <w:bCs/>
                <w:iCs/>
                <w:sz w:val="20"/>
                <w:szCs w:val="20"/>
              </w:rPr>
              <w:t>li</w:t>
            </w:r>
            <w:r w:rsidRPr="001941B0">
              <w:rPr>
                <w:rFonts w:cs="Aptos"/>
                <w:bCs/>
                <w:iCs/>
                <w:sz w:val="20"/>
                <w:szCs w:val="20"/>
              </w:rPr>
              <w:t>ć</w:t>
            </w:r>
            <w:r w:rsidRPr="001941B0">
              <w:rPr>
                <w:rFonts w:cs="Calibri"/>
                <w:bCs/>
                <w:iCs/>
                <w:sz w:val="20"/>
                <w:szCs w:val="20"/>
              </w:rPr>
              <w:t xml:space="preserve"> odpowiedzialno</w:t>
            </w:r>
            <w:r w:rsidRPr="001941B0">
              <w:rPr>
                <w:rFonts w:cs="Aptos"/>
                <w:bCs/>
                <w:iCs/>
                <w:sz w:val="20"/>
                <w:szCs w:val="20"/>
              </w:rPr>
              <w:t>ść</w:t>
            </w:r>
            <w:r w:rsidRPr="001941B0">
              <w:rPr>
                <w:rFonts w:cs="Calibri"/>
                <w:bCs/>
                <w:iCs/>
                <w:sz w:val="20"/>
                <w:szCs w:val="20"/>
              </w:rPr>
              <w:t xml:space="preserve"> za przegl</w:t>
            </w:r>
            <w:r w:rsidRPr="001941B0">
              <w:rPr>
                <w:rFonts w:cs="Aptos"/>
                <w:bCs/>
                <w:iCs/>
                <w:sz w:val="20"/>
                <w:szCs w:val="20"/>
              </w:rPr>
              <w:t>ą</w:t>
            </w:r>
            <w:r w:rsidRPr="001941B0">
              <w:rPr>
                <w:rFonts w:cs="Calibri"/>
                <w:bCs/>
                <w:iCs/>
                <w:sz w:val="20"/>
                <w:szCs w:val="20"/>
              </w:rPr>
              <w:t>d i reakcj</w:t>
            </w:r>
            <w:r w:rsidRPr="001941B0">
              <w:rPr>
                <w:rFonts w:cs="Aptos"/>
                <w:bCs/>
                <w:iCs/>
                <w:sz w:val="20"/>
                <w:szCs w:val="20"/>
              </w:rPr>
              <w:t>ę</w:t>
            </w:r>
            <w:r w:rsidRPr="001941B0">
              <w:rPr>
                <w:rFonts w:cs="Calibri"/>
                <w:bCs/>
                <w:iCs/>
                <w:sz w:val="20"/>
                <w:szCs w:val="20"/>
              </w:rPr>
              <w:t xml:space="preserve"> na dane.</w:t>
            </w:r>
          </w:p>
        </w:tc>
        <w:tc>
          <w:tcPr>
            <w:tcW w:w="2855" w:type="dxa"/>
            <w:shd w:val="clear" w:color="auto" w:fill="FFFFFF" w:themeFill="background1"/>
          </w:tcPr>
          <w:p w14:paraId="627C9803" w14:textId="77777777" w:rsidR="00306E53" w:rsidRPr="001941B0" w:rsidRDefault="001436DA" w:rsidP="006E0CB2">
            <w:pPr>
              <w:autoSpaceDE w:val="0"/>
              <w:autoSpaceDN w:val="0"/>
              <w:adjustRightInd w:val="0"/>
              <w:spacing w:after="0" w:line="240" w:lineRule="auto"/>
              <w:rPr>
                <w:rFonts w:cstheme="minorHAnsi"/>
                <w:b/>
                <w:bCs/>
                <w:sz w:val="20"/>
                <w:szCs w:val="20"/>
              </w:rPr>
            </w:pPr>
            <w:r w:rsidRPr="001941B0">
              <w:rPr>
                <w:rFonts w:cstheme="minorHAnsi"/>
                <w:b/>
                <w:sz w:val="20"/>
                <w:szCs w:val="20"/>
              </w:rPr>
              <w:t>Wyjaśnienie</w:t>
            </w:r>
          </w:p>
          <w:p w14:paraId="46479CCF" w14:textId="570FACCB" w:rsidR="00306E53" w:rsidRPr="001941B0" w:rsidRDefault="003B4AD6" w:rsidP="006E0CB2">
            <w:pPr>
              <w:autoSpaceDE w:val="0"/>
              <w:autoSpaceDN w:val="0"/>
              <w:adjustRightInd w:val="0"/>
              <w:spacing w:after="0" w:line="240" w:lineRule="auto"/>
              <w:rPr>
                <w:rFonts w:cstheme="minorHAnsi"/>
                <w:sz w:val="20"/>
                <w:szCs w:val="20"/>
              </w:rPr>
            </w:pPr>
            <w:r w:rsidRPr="001941B0">
              <w:rPr>
                <w:rFonts w:cstheme="minorHAnsi"/>
                <w:sz w:val="20"/>
                <w:szCs w:val="20"/>
              </w:rPr>
              <w:t>Dane z systemu DOM będą wykorzystywane na potrzeby karty e-KOK. Placówka należąca do KSK pobierając dane karty e-KOK w szczególności może pobrać dane z systemu DOM lub dokonać ich zapisu.</w:t>
            </w:r>
          </w:p>
        </w:tc>
      </w:tr>
      <w:tr w:rsidR="00FC7212" w:rsidRPr="001941B0" w14:paraId="64EC63DC" w14:textId="77777777" w:rsidTr="7139DBB9">
        <w:tc>
          <w:tcPr>
            <w:tcW w:w="1125" w:type="dxa"/>
            <w:shd w:val="clear" w:color="auto" w:fill="FFFFFF" w:themeFill="background1"/>
          </w:tcPr>
          <w:p w14:paraId="655B98E1"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0604D9B1" w14:textId="4B113854" w:rsidR="00306E53" w:rsidRPr="001941B0" w:rsidRDefault="00306E53" w:rsidP="006E0CB2">
            <w:pPr>
              <w:autoSpaceDE w:val="0"/>
              <w:autoSpaceDN w:val="0"/>
              <w:adjustRightInd w:val="0"/>
              <w:spacing w:after="0" w:line="240" w:lineRule="auto"/>
              <w:rPr>
                <w:rFonts w:cs="Calibri"/>
                <w:bCs/>
                <w:sz w:val="20"/>
                <w:szCs w:val="20"/>
              </w:rPr>
            </w:pPr>
            <w:r w:rsidRPr="001941B0">
              <w:rPr>
                <w:rFonts w:cs="Calibri"/>
                <w:bCs/>
                <w:sz w:val="20"/>
                <w:szCs w:val="20"/>
              </w:rPr>
              <w:t>Konsultant Krajowy w dziedzinie Kardiologii</w:t>
            </w:r>
          </w:p>
        </w:tc>
        <w:tc>
          <w:tcPr>
            <w:tcW w:w="1949" w:type="dxa"/>
            <w:shd w:val="clear" w:color="auto" w:fill="FFFFFF" w:themeFill="background1"/>
          </w:tcPr>
          <w:p w14:paraId="032008A3" w14:textId="2EA01484"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tc>
        <w:tc>
          <w:tcPr>
            <w:tcW w:w="5652" w:type="dxa"/>
            <w:shd w:val="clear" w:color="auto" w:fill="FFFFFF" w:themeFill="background1"/>
          </w:tcPr>
          <w:p w14:paraId="289E7F30"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Błąd redakcyjny w OSR: odniesienie do „projektu rozporządzenia” zamiast „projektu ustawy”.</w:t>
            </w:r>
          </w:p>
          <w:p w14:paraId="63822F79"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Uzasadnienie uwagi:</w:t>
            </w:r>
          </w:p>
          <w:p w14:paraId="14642966"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Uchybienie formalne obniża jakość OSR i może rodzić wątpliwości co do zakresu oceny skutków regulacji.</w:t>
            </w:r>
          </w:p>
          <w:p w14:paraId="6194EBDE" w14:textId="77777777" w:rsidR="00306E53" w:rsidRPr="001941B0" w:rsidRDefault="00306E53" w:rsidP="006E0CB2">
            <w:pPr>
              <w:autoSpaceDE w:val="0"/>
              <w:autoSpaceDN w:val="0"/>
              <w:adjustRightInd w:val="0"/>
              <w:spacing w:after="0" w:line="240" w:lineRule="auto"/>
              <w:rPr>
                <w:rFonts w:cs="Calibri"/>
                <w:bCs/>
                <w:iCs/>
                <w:sz w:val="20"/>
                <w:szCs w:val="20"/>
              </w:rPr>
            </w:pPr>
            <w:r w:rsidRPr="001941B0">
              <w:rPr>
                <w:rFonts w:cs="Calibri"/>
                <w:bCs/>
                <w:iCs/>
                <w:sz w:val="20"/>
                <w:szCs w:val="20"/>
              </w:rPr>
              <w:t>Propozycje rozwiązań:</w:t>
            </w:r>
          </w:p>
          <w:p w14:paraId="7EF80491" w14:textId="29299E3C" w:rsidR="00306E53" w:rsidRPr="001941B0" w:rsidRDefault="00306E53" w:rsidP="006E0CB2">
            <w:pPr>
              <w:autoSpaceDE w:val="0"/>
              <w:autoSpaceDN w:val="0"/>
              <w:adjustRightInd w:val="0"/>
              <w:spacing w:after="0" w:line="240" w:lineRule="auto"/>
              <w:rPr>
                <w:rFonts w:cs="Calibri"/>
                <w:sz w:val="20"/>
                <w:szCs w:val="20"/>
              </w:rPr>
            </w:pPr>
            <w:r w:rsidRPr="001941B0">
              <w:rPr>
                <w:rFonts w:cs="Calibri"/>
                <w:bCs/>
                <w:iCs/>
                <w:sz w:val="20"/>
                <w:szCs w:val="20"/>
              </w:rPr>
              <w:t>Poprawić redakcyjnie: „Projekt ustawy nie wywiera wpływu na rynek pracy” (lub odpowiednie brzmienie).</w:t>
            </w:r>
          </w:p>
        </w:tc>
        <w:tc>
          <w:tcPr>
            <w:tcW w:w="2855" w:type="dxa"/>
            <w:shd w:val="clear" w:color="auto" w:fill="FFFFFF" w:themeFill="background1"/>
          </w:tcPr>
          <w:p w14:paraId="0BD42717" w14:textId="53950701" w:rsidR="00306E53" w:rsidRPr="001941B0" w:rsidRDefault="00306E53" w:rsidP="006E0CB2">
            <w:pPr>
              <w:autoSpaceDE w:val="0"/>
              <w:autoSpaceDN w:val="0"/>
              <w:adjustRightInd w:val="0"/>
              <w:spacing w:after="0" w:line="240" w:lineRule="auto"/>
              <w:rPr>
                <w:b/>
                <w:sz w:val="20"/>
                <w:szCs w:val="20"/>
              </w:rPr>
            </w:pPr>
            <w:r w:rsidRPr="001941B0">
              <w:rPr>
                <w:b/>
                <w:sz w:val="20"/>
                <w:szCs w:val="20"/>
              </w:rPr>
              <w:t>Uwaga uwzględniona</w:t>
            </w:r>
          </w:p>
        </w:tc>
      </w:tr>
      <w:tr w:rsidR="00FC7212" w:rsidRPr="001941B0" w14:paraId="76EF5B3C" w14:textId="77777777" w:rsidTr="7139DBB9">
        <w:tc>
          <w:tcPr>
            <w:tcW w:w="1125" w:type="dxa"/>
            <w:shd w:val="clear" w:color="auto" w:fill="FFFFFF" w:themeFill="background1"/>
          </w:tcPr>
          <w:p w14:paraId="4629D0A3"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D35E54A" w14:textId="307C7B09"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Centrum e-Zdrowia</w:t>
            </w:r>
          </w:p>
        </w:tc>
        <w:tc>
          <w:tcPr>
            <w:tcW w:w="1949" w:type="dxa"/>
            <w:shd w:val="clear" w:color="auto" w:fill="FFFFFF" w:themeFill="background1"/>
          </w:tcPr>
          <w:p w14:paraId="27AA2D30" w14:textId="7284353F"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tc>
        <w:tc>
          <w:tcPr>
            <w:tcW w:w="5652" w:type="dxa"/>
            <w:shd w:val="clear" w:color="auto" w:fill="FFFFFF" w:themeFill="background1"/>
          </w:tcPr>
          <w:p w14:paraId="01A77DF4" w14:textId="520E4543" w:rsidR="00306E53" w:rsidRPr="001941B0" w:rsidRDefault="00306E53" w:rsidP="006E0CB2">
            <w:pPr>
              <w:pStyle w:val="Akapitzlist"/>
              <w:numPr>
                <w:ilvl w:val="0"/>
                <w:numId w:val="1"/>
              </w:numPr>
              <w:autoSpaceDE w:val="0"/>
              <w:autoSpaceDN w:val="0"/>
              <w:adjustRightInd w:val="0"/>
              <w:spacing w:after="0" w:line="240" w:lineRule="auto"/>
              <w:rPr>
                <w:sz w:val="20"/>
                <w:szCs w:val="20"/>
              </w:rPr>
            </w:pPr>
            <w:r w:rsidRPr="001941B0">
              <w:rPr>
                <w:rFonts w:cs="Calibri"/>
                <w:sz w:val="20"/>
                <w:szCs w:val="20"/>
              </w:rPr>
              <w:t xml:space="preserve">W projekcie uzasadnienia oraz OSR należy wprowadzić zmiany redakcyjne mające na celu dostosowanie ich </w:t>
            </w:r>
            <w:r w:rsidRPr="001941B0">
              <w:rPr>
                <w:sz w:val="20"/>
                <w:szCs w:val="20"/>
              </w:rPr>
              <w:t>brzmienia do brzmienia projektu ustawy m.in. w zakresie nazwy karty pacjenta.</w:t>
            </w:r>
          </w:p>
          <w:p w14:paraId="46945418" w14:textId="797C8B18" w:rsidR="00306E53" w:rsidRPr="001941B0" w:rsidRDefault="00306E53" w:rsidP="006E0CB2">
            <w:pPr>
              <w:pStyle w:val="Akapitzlist"/>
              <w:numPr>
                <w:ilvl w:val="0"/>
                <w:numId w:val="1"/>
              </w:numPr>
              <w:autoSpaceDE w:val="0"/>
              <w:autoSpaceDN w:val="0"/>
              <w:adjustRightInd w:val="0"/>
              <w:spacing w:after="0" w:line="240" w:lineRule="auto"/>
              <w:rPr>
                <w:sz w:val="20"/>
                <w:szCs w:val="20"/>
              </w:rPr>
            </w:pPr>
            <w:r w:rsidRPr="001941B0">
              <w:rPr>
                <w:sz w:val="20"/>
                <w:szCs w:val="20"/>
              </w:rPr>
              <w:t>W projekcie OSR w pkt 12 ppkt 3 należy wskazać, że ucyfrowieniu 30 % istotnych z punktu widzenia leczenia i profilaktyki danych medycznych w postaci kart informacyjnych z leczenia szpitalnego polegać będzie na ucyfrowieniu dokumentacji z lat 2023 – 2025 a nie jak wskazano za lata 2022–2025.</w:t>
            </w:r>
          </w:p>
        </w:tc>
        <w:tc>
          <w:tcPr>
            <w:tcW w:w="2855" w:type="dxa"/>
            <w:shd w:val="clear" w:color="auto" w:fill="FFFFFF" w:themeFill="background1"/>
          </w:tcPr>
          <w:p w14:paraId="69C1196E" w14:textId="67DB3988" w:rsidR="00306E53" w:rsidRPr="001941B0" w:rsidRDefault="00306E53" w:rsidP="006E0CB2">
            <w:pPr>
              <w:autoSpaceDE w:val="0"/>
              <w:autoSpaceDN w:val="0"/>
              <w:adjustRightInd w:val="0"/>
              <w:spacing w:after="0" w:line="240" w:lineRule="auto"/>
              <w:rPr>
                <w:b/>
                <w:sz w:val="20"/>
                <w:szCs w:val="20"/>
              </w:rPr>
            </w:pPr>
            <w:r w:rsidRPr="001941B0">
              <w:rPr>
                <w:b/>
                <w:sz w:val="20"/>
                <w:szCs w:val="20"/>
              </w:rPr>
              <w:t xml:space="preserve">Uwaga uwzględniona </w:t>
            </w:r>
          </w:p>
          <w:p w14:paraId="5F0EAB47" w14:textId="3921A606" w:rsidR="00306E53" w:rsidRPr="001941B0" w:rsidRDefault="00306E53" w:rsidP="006E0CB2">
            <w:pPr>
              <w:autoSpaceDE w:val="0"/>
              <w:autoSpaceDN w:val="0"/>
              <w:adjustRightInd w:val="0"/>
              <w:spacing w:after="0" w:line="240" w:lineRule="auto"/>
              <w:rPr>
                <w:sz w:val="20"/>
                <w:szCs w:val="20"/>
              </w:rPr>
            </w:pPr>
          </w:p>
          <w:p w14:paraId="436AE566" w14:textId="603B090B" w:rsidR="00306E53" w:rsidRPr="001941B0" w:rsidRDefault="00306E53" w:rsidP="006E0CB2">
            <w:pPr>
              <w:autoSpaceDE w:val="0"/>
              <w:autoSpaceDN w:val="0"/>
              <w:adjustRightInd w:val="0"/>
              <w:spacing w:after="0" w:line="240" w:lineRule="auto"/>
              <w:rPr>
                <w:sz w:val="20"/>
                <w:szCs w:val="20"/>
              </w:rPr>
            </w:pPr>
          </w:p>
        </w:tc>
      </w:tr>
      <w:tr w:rsidR="00FC7212" w:rsidRPr="001941B0" w14:paraId="6D46D8BE" w14:textId="77777777" w:rsidTr="7139DBB9">
        <w:tc>
          <w:tcPr>
            <w:tcW w:w="1125" w:type="dxa"/>
            <w:shd w:val="clear" w:color="auto" w:fill="FFFFFF" w:themeFill="background1"/>
          </w:tcPr>
          <w:p w14:paraId="578BFD30"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307D05F6" w14:textId="026FA2BE" w:rsidR="00306E53" w:rsidRPr="001941B0" w:rsidDel="004F77F6"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1BDECA45" w14:textId="77777777" w:rsidR="00E235D8"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p w14:paraId="475A7AF2" w14:textId="4E9C4ABE" w:rsidR="00306E53" w:rsidRPr="001941B0" w:rsidDel="004F77F6"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7B1CFD68" w14:textId="72921C4A"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PUI – interoperacyjność i integracja (OSR/załącznik) – integracja z HIS/RIS/PACS; repozytorium dużych plików; katalog usług. </w:t>
            </w:r>
            <w:r w:rsidRPr="001941B0">
              <w:rPr>
                <w:sz w:val="20"/>
                <w:szCs w:val="20"/>
              </w:rPr>
              <w:t xml:space="preserve"> </w:t>
            </w:r>
            <w:r w:rsidRPr="001941B0">
              <w:rPr>
                <w:rFonts w:cs="Calibri"/>
                <w:sz w:val="20"/>
                <w:szCs w:val="20"/>
              </w:rPr>
              <w:t xml:space="preserve">Ryzyko powstania „drugiego obiegu” danych, jeśli nie zostaną wskazane standardy (DICOM/IHE) oraz wymogi integracyjne i audytowe. </w:t>
            </w:r>
          </w:p>
          <w:p w14:paraId="21E10A86" w14:textId="178B24A2" w:rsidR="00306E53" w:rsidRPr="001941B0" w:rsidRDefault="00306E53" w:rsidP="006E0CB2">
            <w:pPr>
              <w:autoSpaceDE w:val="0"/>
              <w:autoSpaceDN w:val="0"/>
              <w:adjustRightInd w:val="0"/>
              <w:spacing w:after="0" w:line="240" w:lineRule="auto"/>
              <w:rPr>
                <w:rFonts w:cs="Calibri"/>
                <w:sz w:val="20"/>
                <w:szCs w:val="20"/>
              </w:rPr>
            </w:pPr>
            <w:r w:rsidRPr="001941B0">
              <w:rPr>
                <w:rFonts w:cs="Calibri"/>
                <w:b/>
                <w:bCs/>
                <w:sz w:val="20"/>
                <w:szCs w:val="20"/>
              </w:rPr>
              <w:lastRenderedPageBreak/>
              <w:t>Propozycja:</w:t>
            </w:r>
            <w:r w:rsidRPr="001941B0">
              <w:rPr>
                <w:rFonts w:cs="Calibri"/>
                <w:sz w:val="20"/>
                <w:szCs w:val="20"/>
              </w:rPr>
              <w:t xml:space="preserve"> Wnieść o wskazanie standardów technicznych i integracyjnych (np. DICOM, profile IHE lub równoważne), w tym wymagania logowania/audit trail.</w:t>
            </w:r>
          </w:p>
          <w:p w14:paraId="752B61D0" w14:textId="64DF86E8" w:rsidR="00306E53" w:rsidRPr="001941B0" w:rsidDel="004F77F6" w:rsidRDefault="00306E53" w:rsidP="006E0CB2">
            <w:pPr>
              <w:autoSpaceDE w:val="0"/>
              <w:autoSpaceDN w:val="0"/>
              <w:adjustRightInd w:val="0"/>
              <w:spacing w:after="0" w:line="240" w:lineRule="auto"/>
              <w:rPr>
                <w:rFonts w:cs="Calibri"/>
                <w:sz w:val="20"/>
                <w:szCs w:val="20"/>
              </w:rPr>
            </w:pPr>
            <w:r w:rsidRPr="001941B0">
              <w:rPr>
                <w:rFonts w:cs="Calibri"/>
                <w:b/>
                <w:bCs/>
                <w:sz w:val="20"/>
                <w:szCs w:val="20"/>
              </w:rPr>
              <w:t>Uzasadnienie:</w:t>
            </w:r>
            <w:r w:rsidRPr="001941B0">
              <w:rPr>
                <w:sz w:val="20"/>
                <w:szCs w:val="20"/>
              </w:rPr>
              <w:t xml:space="preserve"> </w:t>
            </w:r>
            <w:r w:rsidRPr="001941B0">
              <w:rPr>
                <w:rFonts w:cs="Calibri"/>
                <w:sz w:val="20"/>
                <w:szCs w:val="20"/>
              </w:rPr>
              <w:t xml:space="preserve">Zapewni to spójność wdrożenia, ograniczy koszty integracji i ryzyko błędów organizacyjnych w radiologii.  </w:t>
            </w:r>
          </w:p>
        </w:tc>
        <w:tc>
          <w:tcPr>
            <w:tcW w:w="2855" w:type="dxa"/>
            <w:shd w:val="clear" w:color="auto" w:fill="FFFFFF" w:themeFill="background1"/>
          </w:tcPr>
          <w:p w14:paraId="72FAA05F" w14:textId="77777777" w:rsidR="00C261AD" w:rsidRPr="001941B0" w:rsidRDefault="00C261AD" w:rsidP="006E0CB2">
            <w:pPr>
              <w:autoSpaceDE w:val="0"/>
              <w:autoSpaceDN w:val="0"/>
              <w:adjustRightInd w:val="0"/>
              <w:spacing w:after="0" w:line="240" w:lineRule="auto"/>
              <w:rPr>
                <w:rFonts w:cstheme="minorHAnsi"/>
                <w:b/>
                <w:sz w:val="20"/>
                <w:szCs w:val="20"/>
              </w:rPr>
            </w:pPr>
            <w:r w:rsidRPr="001941B0">
              <w:rPr>
                <w:rFonts w:cstheme="minorHAnsi"/>
                <w:b/>
                <w:sz w:val="20"/>
                <w:szCs w:val="20"/>
              </w:rPr>
              <w:lastRenderedPageBreak/>
              <w:t>Wyjaśnienie</w:t>
            </w:r>
          </w:p>
          <w:p w14:paraId="1C5468D8" w14:textId="61E7CD4B" w:rsidR="00306E53" w:rsidRPr="001941B0" w:rsidDel="004F77F6" w:rsidRDefault="00C261AD"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CeZ opublikowało </w:t>
            </w:r>
            <w:r w:rsidR="00B84FFE" w:rsidRPr="001941B0">
              <w:rPr>
                <w:rFonts w:cstheme="minorHAnsi"/>
                <w:sz w:val="20"/>
                <w:szCs w:val="20"/>
              </w:rPr>
              <w:t>standardy</w:t>
            </w:r>
            <w:r w:rsidR="003B4AD6" w:rsidRPr="001941B0">
              <w:rPr>
                <w:rFonts w:cstheme="minorHAnsi"/>
                <w:sz w:val="20"/>
                <w:szCs w:val="20"/>
              </w:rPr>
              <w:t xml:space="preserve"> </w:t>
            </w:r>
            <w:r w:rsidR="002C4833" w:rsidRPr="001941B0">
              <w:rPr>
                <w:rFonts w:cstheme="minorHAnsi"/>
                <w:sz w:val="20"/>
                <w:szCs w:val="20"/>
              </w:rPr>
              <w:t xml:space="preserve">w zakresie integracji systemów. </w:t>
            </w:r>
          </w:p>
        </w:tc>
      </w:tr>
      <w:tr w:rsidR="00FC7212" w:rsidRPr="001941B0" w14:paraId="1ADF4480" w14:textId="77777777" w:rsidTr="7139DBB9">
        <w:tc>
          <w:tcPr>
            <w:tcW w:w="1125" w:type="dxa"/>
            <w:shd w:val="clear" w:color="auto" w:fill="FFFFFF" w:themeFill="background1"/>
          </w:tcPr>
          <w:p w14:paraId="2D7D8C60"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447F0109" w14:textId="0FE75381" w:rsidR="00306E53" w:rsidRPr="001941B0" w:rsidDel="004F77F6"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75B48A80" w14:textId="77777777" w:rsidR="00E235D8"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p w14:paraId="655D9195" w14:textId="77777777" w:rsidR="00CE59B7" w:rsidRPr="001941B0" w:rsidRDefault="00CE59B7" w:rsidP="006E0CB2">
            <w:pPr>
              <w:autoSpaceDE w:val="0"/>
              <w:autoSpaceDN w:val="0"/>
              <w:adjustRightInd w:val="0"/>
              <w:spacing w:after="0" w:line="240" w:lineRule="auto"/>
              <w:rPr>
                <w:rFonts w:cs="Calibri"/>
                <w:sz w:val="20"/>
                <w:szCs w:val="20"/>
              </w:rPr>
            </w:pPr>
          </w:p>
          <w:p w14:paraId="57579F05" w14:textId="02A963F8" w:rsidR="00306E53" w:rsidRPr="001941B0" w:rsidDel="004F77F6"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0DAB0D2F" w14:textId="77702358"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Karta pacjenta – tryb ratowania życia bez zgody (opis w OSR/załącznikach). Potrzeba doprecyzowania przesłanek i mechanizmu śladu audytowego (kto, kiedy, na jakiej podstawie i w jakim zakresie uzyskał dostęp).</w:t>
            </w:r>
          </w:p>
          <w:p w14:paraId="333CE47A" w14:textId="6CF9C200" w:rsidR="00306E53" w:rsidRPr="001941B0" w:rsidRDefault="00306E53" w:rsidP="006E0CB2">
            <w:pPr>
              <w:autoSpaceDE w:val="0"/>
              <w:autoSpaceDN w:val="0"/>
              <w:adjustRightInd w:val="0"/>
              <w:spacing w:after="0" w:line="240" w:lineRule="auto"/>
              <w:rPr>
                <w:rFonts w:cs="Calibri"/>
                <w:sz w:val="20"/>
                <w:szCs w:val="20"/>
              </w:rPr>
            </w:pPr>
            <w:r w:rsidRPr="001941B0">
              <w:rPr>
                <w:rFonts w:cs="Calibri"/>
                <w:b/>
                <w:bCs/>
                <w:sz w:val="20"/>
                <w:szCs w:val="20"/>
              </w:rPr>
              <w:t>Propozycja:</w:t>
            </w:r>
            <w:r w:rsidRPr="001941B0">
              <w:rPr>
                <w:rFonts w:cs="Calibri"/>
                <w:sz w:val="20"/>
                <w:szCs w:val="20"/>
              </w:rPr>
              <w:t xml:space="preserve"> Uzupełnić o obowiązkowe logowanie i audyt: identyfikacja osoby, czas, powód, zakres danych, możliwość kontroli/raportowania.</w:t>
            </w:r>
          </w:p>
          <w:p w14:paraId="577C5A1B" w14:textId="063451A7" w:rsidR="00306E53" w:rsidRPr="001941B0" w:rsidDel="004F77F6" w:rsidRDefault="00306E53" w:rsidP="006E0CB2">
            <w:pPr>
              <w:autoSpaceDE w:val="0"/>
              <w:autoSpaceDN w:val="0"/>
              <w:adjustRightInd w:val="0"/>
              <w:spacing w:after="0" w:line="240" w:lineRule="auto"/>
              <w:rPr>
                <w:rFonts w:cs="Calibri"/>
                <w:sz w:val="20"/>
                <w:szCs w:val="20"/>
              </w:rPr>
            </w:pPr>
            <w:r w:rsidRPr="001941B0">
              <w:rPr>
                <w:rFonts w:cs="Calibri"/>
                <w:b/>
                <w:bCs/>
                <w:sz w:val="20"/>
                <w:szCs w:val="20"/>
              </w:rPr>
              <w:t>Uzasadnienie:</w:t>
            </w:r>
            <w:r w:rsidRPr="001941B0">
              <w:rPr>
                <w:rFonts w:cs="Calibri"/>
                <w:sz w:val="20"/>
                <w:szCs w:val="20"/>
              </w:rPr>
              <w:t xml:space="preserve"> To mechanizm wysokiego ryzyka nadużyć – zabezpieczenia muszą być jednoznaczne i weryfikowalne. </w:t>
            </w:r>
          </w:p>
        </w:tc>
        <w:tc>
          <w:tcPr>
            <w:tcW w:w="2855" w:type="dxa"/>
            <w:shd w:val="clear" w:color="auto" w:fill="FFFFFF" w:themeFill="background1"/>
          </w:tcPr>
          <w:p w14:paraId="11A1C7A4" w14:textId="77777777" w:rsidR="00306E53" w:rsidRPr="001941B0" w:rsidRDefault="00601F30" w:rsidP="006E0CB2">
            <w:pPr>
              <w:autoSpaceDE w:val="0"/>
              <w:autoSpaceDN w:val="0"/>
              <w:adjustRightInd w:val="0"/>
              <w:spacing w:after="0" w:line="240" w:lineRule="auto"/>
              <w:rPr>
                <w:rFonts w:cstheme="minorHAnsi"/>
                <w:b/>
                <w:sz w:val="20"/>
                <w:szCs w:val="20"/>
              </w:rPr>
            </w:pPr>
            <w:r w:rsidRPr="001941B0">
              <w:rPr>
                <w:rFonts w:cstheme="minorHAnsi"/>
                <w:b/>
                <w:sz w:val="20"/>
                <w:szCs w:val="20"/>
              </w:rPr>
              <w:t>Wyjaśnienie</w:t>
            </w:r>
          </w:p>
          <w:p w14:paraId="5899AF19" w14:textId="7CC3B709" w:rsidR="00306E53" w:rsidRPr="001941B0" w:rsidDel="004F77F6" w:rsidRDefault="0085585A" w:rsidP="006E0CB2">
            <w:pPr>
              <w:autoSpaceDE w:val="0"/>
              <w:autoSpaceDN w:val="0"/>
              <w:adjustRightInd w:val="0"/>
              <w:spacing w:after="0" w:line="240" w:lineRule="auto"/>
              <w:rPr>
                <w:rFonts w:cstheme="minorHAnsi"/>
                <w:sz w:val="20"/>
                <w:szCs w:val="20"/>
              </w:rPr>
            </w:pPr>
            <w:r w:rsidRPr="001941B0">
              <w:rPr>
                <w:rFonts w:cstheme="minorHAnsi"/>
                <w:sz w:val="20"/>
                <w:szCs w:val="20"/>
              </w:rPr>
              <w:t xml:space="preserve">Rozwiązanie </w:t>
            </w:r>
            <w:r w:rsidR="008A7BD3" w:rsidRPr="001941B0">
              <w:rPr>
                <w:rFonts w:cstheme="minorHAnsi"/>
                <w:sz w:val="20"/>
                <w:szCs w:val="20"/>
              </w:rPr>
              <w:t>zapewnia zachowanie śladu audytowego</w:t>
            </w:r>
            <w:r w:rsidR="00BA32A3" w:rsidRPr="001941B0">
              <w:rPr>
                <w:rFonts w:cstheme="minorHAnsi"/>
                <w:sz w:val="20"/>
                <w:szCs w:val="20"/>
              </w:rPr>
              <w:t>, co najmniej w zakresie daty oraz celu</w:t>
            </w:r>
            <w:r w:rsidR="003A3368" w:rsidRPr="001941B0">
              <w:rPr>
                <w:rFonts w:cstheme="minorHAnsi"/>
                <w:sz w:val="20"/>
                <w:szCs w:val="20"/>
              </w:rPr>
              <w:t xml:space="preserve"> pozyskania danych</w:t>
            </w:r>
            <w:r w:rsidR="003C6D0D" w:rsidRPr="001941B0">
              <w:rPr>
                <w:rFonts w:cstheme="minorHAnsi"/>
                <w:sz w:val="20"/>
                <w:szCs w:val="20"/>
              </w:rPr>
              <w:t>.</w:t>
            </w:r>
          </w:p>
        </w:tc>
      </w:tr>
      <w:tr w:rsidR="00FC7212" w:rsidRPr="00836428" w14:paraId="71F14176" w14:textId="77777777" w:rsidTr="7139DBB9">
        <w:tc>
          <w:tcPr>
            <w:tcW w:w="1125" w:type="dxa"/>
            <w:shd w:val="clear" w:color="auto" w:fill="FFFFFF" w:themeFill="background1"/>
          </w:tcPr>
          <w:p w14:paraId="0253A3FE" w14:textId="77777777" w:rsidR="00306E53" w:rsidRPr="001941B0" w:rsidRDefault="00306E53" w:rsidP="00354D58">
            <w:pPr>
              <w:pStyle w:val="Akapitzlist"/>
              <w:numPr>
                <w:ilvl w:val="0"/>
                <w:numId w:val="3"/>
              </w:numPr>
              <w:autoSpaceDE w:val="0"/>
              <w:autoSpaceDN w:val="0"/>
              <w:adjustRightInd w:val="0"/>
              <w:spacing w:after="0" w:line="240" w:lineRule="auto"/>
              <w:ind w:left="0" w:firstLine="0"/>
              <w:jc w:val="right"/>
              <w:rPr>
                <w:rFonts w:eastAsia="Times New Roman" w:cstheme="minorHAnsi"/>
                <w:sz w:val="20"/>
                <w:szCs w:val="20"/>
                <w:lang w:eastAsia="pl-PL"/>
              </w:rPr>
            </w:pPr>
          </w:p>
        </w:tc>
        <w:tc>
          <w:tcPr>
            <w:tcW w:w="2735" w:type="dxa"/>
            <w:shd w:val="clear" w:color="auto" w:fill="FFFFFF" w:themeFill="background1"/>
          </w:tcPr>
          <w:p w14:paraId="5DC6F14F" w14:textId="5D1926A1" w:rsidR="00306E53" w:rsidRPr="001941B0" w:rsidDel="004F77F6" w:rsidRDefault="00306E53" w:rsidP="006E0CB2">
            <w:pPr>
              <w:autoSpaceDE w:val="0"/>
              <w:autoSpaceDN w:val="0"/>
              <w:adjustRightInd w:val="0"/>
              <w:spacing w:after="0" w:line="240" w:lineRule="auto"/>
              <w:rPr>
                <w:rFonts w:cs="Calibri"/>
                <w:bCs/>
                <w:sz w:val="20"/>
                <w:szCs w:val="20"/>
              </w:rPr>
            </w:pPr>
            <w:r w:rsidRPr="001941B0">
              <w:rPr>
                <w:rFonts w:cs="Calibri"/>
                <w:sz w:val="20"/>
                <w:szCs w:val="20"/>
              </w:rPr>
              <w:t>Konsultant krajowy w dziedzinie radiologii i diagnostyki obrazowe</w:t>
            </w:r>
          </w:p>
        </w:tc>
        <w:tc>
          <w:tcPr>
            <w:tcW w:w="1949" w:type="dxa"/>
            <w:shd w:val="clear" w:color="auto" w:fill="FFFFFF" w:themeFill="background1"/>
          </w:tcPr>
          <w:p w14:paraId="4FBBB182" w14:textId="77777777" w:rsidR="00E235D8"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OSR</w:t>
            </w:r>
          </w:p>
          <w:p w14:paraId="7DAAF584" w14:textId="77777777" w:rsidR="00CE59B7" w:rsidRPr="001941B0" w:rsidRDefault="00CE59B7" w:rsidP="006E0CB2">
            <w:pPr>
              <w:autoSpaceDE w:val="0"/>
              <w:autoSpaceDN w:val="0"/>
              <w:adjustRightInd w:val="0"/>
              <w:spacing w:after="0" w:line="240" w:lineRule="auto"/>
              <w:rPr>
                <w:rFonts w:cs="Calibri"/>
                <w:sz w:val="20"/>
                <w:szCs w:val="20"/>
              </w:rPr>
            </w:pPr>
          </w:p>
          <w:p w14:paraId="342439B8" w14:textId="58932981" w:rsidR="00306E53" w:rsidRPr="001941B0" w:rsidDel="004F77F6" w:rsidRDefault="00306E53" w:rsidP="006E0CB2">
            <w:pPr>
              <w:autoSpaceDE w:val="0"/>
              <w:autoSpaceDN w:val="0"/>
              <w:adjustRightInd w:val="0"/>
              <w:spacing w:after="0" w:line="240" w:lineRule="auto"/>
              <w:rPr>
                <w:rFonts w:cs="Calibri"/>
                <w:sz w:val="20"/>
                <w:szCs w:val="20"/>
              </w:rPr>
            </w:pPr>
          </w:p>
        </w:tc>
        <w:tc>
          <w:tcPr>
            <w:tcW w:w="5652" w:type="dxa"/>
            <w:shd w:val="clear" w:color="auto" w:fill="FFFFFF" w:themeFill="background1"/>
          </w:tcPr>
          <w:p w14:paraId="6D5EF840" w14:textId="77777777"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Koszty i wykonalność (OSR/załącznik) – wysokie koszty wieloletnie; m.in. integracje i licencje podglądu badań obrazowych. </w:t>
            </w:r>
            <w:r w:rsidRPr="001941B0">
              <w:rPr>
                <w:sz w:val="20"/>
                <w:szCs w:val="20"/>
              </w:rPr>
              <w:t xml:space="preserve"> </w:t>
            </w:r>
            <w:r w:rsidRPr="001941B0">
              <w:rPr>
                <w:rFonts w:cs="Calibri"/>
                <w:sz w:val="20"/>
                <w:szCs w:val="20"/>
              </w:rPr>
              <w:t xml:space="preserve">Ryzyko przerzucenia kosztów integracji (HIS/RIS/PACS) na szpitale bez mechanizmu wsparcia, co ograniczy realne wdrożenie. </w:t>
            </w:r>
          </w:p>
          <w:p w14:paraId="24C0DE02" w14:textId="1A7DE91F" w:rsidR="00306E53" w:rsidRPr="001941B0"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Propozycja: Wnieść o doprecyzowanie mechanizmu finansowania/wsparcia integracji po stronie podmiotów (np. program wsparcia, standardy minimalne, rekomendowane rozwiązania). </w:t>
            </w:r>
          </w:p>
          <w:p w14:paraId="6CC72667" w14:textId="45960259" w:rsidR="00306E53" w:rsidRPr="001941B0" w:rsidDel="004F77F6" w:rsidRDefault="00306E53" w:rsidP="006E0CB2">
            <w:pPr>
              <w:autoSpaceDE w:val="0"/>
              <w:autoSpaceDN w:val="0"/>
              <w:adjustRightInd w:val="0"/>
              <w:spacing w:after="0" w:line="240" w:lineRule="auto"/>
              <w:rPr>
                <w:rFonts w:cs="Calibri"/>
                <w:sz w:val="20"/>
                <w:szCs w:val="20"/>
              </w:rPr>
            </w:pPr>
            <w:r w:rsidRPr="001941B0">
              <w:rPr>
                <w:rFonts w:cs="Calibri"/>
                <w:sz w:val="20"/>
                <w:szCs w:val="20"/>
              </w:rPr>
              <w:t xml:space="preserve">Uzasadnienie: Bez wsparcia integracji narzędzia centralne mogą nie być wykorzystywane mimo poniesionych kosztów.   </w:t>
            </w:r>
          </w:p>
        </w:tc>
        <w:tc>
          <w:tcPr>
            <w:tcW w:w="2855" w:type="dxa"/>
            <w:shd w:val="clear" w:color="auto" w:fill="FFFFFF" w:themeFill="background1"/>
          </w:tcPr>
          <w:p w14:paraId="226B4994" w14:textId="6579E3B4" w:rsidR="00306E53" w:rsidRPr="001941B0" w:rsidRDefault="0042643F" w:rsidP="006E0CB2">
            <w:pPr>
              <w:autoSpaceDE w:val="0"/>
              <w:autoSpaceDN w:val="0"/>
              <w:adjustRightInd w:val="0"/>
              <w:spacing w:after="0" w:line="240" w:lineRule="auto"/>
              <w:rPr>
                <w:b/>
                <w:sz w:val="20"/>
                <w:szCs w:val="20"/>
              </w:rPr>
            </w:pPr>
            <w:r w:rsidRPr="001941B0">
              <w:rPr>
                <w:b/>
                <w:sz w:val="20"/>
                <w:szCs w:val="20"/>
              </w:rPr>
              <w:t>Wyjaśnienie</w:t>
            </w:r>
          </w:p>
          <w:p w14:paraId="40E7F3D8" w14:textId="77777777" w:rsidR="000E74EB" w:rsidRPr="001941B0" w:rsidRDefault="000E74EB" w:rsidP="006E0CB2">
            <w:pPr>
              <w:autoSpaceDE w:val="0"/>
              <w:autoSpaceDN w:val="0"/>
              <w:adjustRightInd w:val="0"/>
              <w:spacing w:after="0" w:line="240" w:lineRule="auto"/>
              <w:rPr>
                <w:rFonts w:cstheme="minorHAnsi"/>
                <w:b/>
                <w:sz w:val="20"/>
                <w:szCs w:val="20"/>
              </w:rPr>
            </w:pPr>
          </w:p>
          <w:p w14:paraId="4E2FE39C" w14:textId="022672FB" w:rsidR="00306E53" w:rsidRPr="001941B0" w:rsidDel="004F77F6" w:rsidRDefault="00FC36F6" w:rsidP="1B5FDD98">
            <w:pPr>
              <w:autoSpaceDE w:val="0"/>
              <w:autoSpaceDN w:val="0"/>
              <w:adjustRightInd w:val="0"/>
              <w:spacing w:after="0" w:line="240" w:lineRule="auto"/>
              <w:rPr>
                <w:sz w:val="20"/>
                <w:szCs w:val="20"/>
              </w:rPr>
            </w:pPr>
            <w:r w:rsidRPr="001941B0">
              <w:rPr>
                <w:sz w:val="20"/>
                <w:szCs w:val="20"/>
              </w:rPr>
              <w:t xml:space="preserve">Koszty integracji </w:t>
            </w:r>
            <w:r w:rsidR="5D4E75C9" w:rsidRPr="001941B0">
              <w:rPr>
                <w:sz w:val="20"/>
                <w:szCs w:val="20"/>
              </w:rPr>
              <w:t>zostaną pokryt</w:t>
            </w:r>
            <w:r w:rsidR="001C58F0" w:rsidRPr="001941B0">
              <w:rPr>
                <w:sz w:val="20"/>
                <w:szCs w:val="20"/>
              </w:rPr>
              <w:t>e</w:t>
            </w:r>
            <w:r w:rsidR="002B7D73" w:rsidRPr="001941B0">
              <w:rPr>
                <w:sz w:val="20"/>
                <w:szCs w:val="20"/>
              </w:rPr>
              <w:t xml:space="preserve"> ze środków </w:t>
            </w:r>
            <w:r w:rsidR="0042643F" w:rsidRPr="001941B0">
              <w:rPr>
                <w:sz w:val="20"/>
                <w:szCs w:val="20"/>
              </w:rPr>
              <w:t>KPO.</w:t>
            </w:r>
          </w:p>
          <w:p w14:paraId="2F19201A" w14:textId="742FCF90" w:rsidR="00306E53" w:rsidRPr="00E8303A" w:rsidDel="004F77F6" w:rsidRDefault="73429555" w:rsidP="006E0CB2">
            <w:pPr>
              <w:autoSpaceDE w:val="0"/>
              <w:autoSpaceDN w:val="0"/>
              <w:adjustRightInd w:val="0"/>
              <w:spacing w:after="0" w:line="240" w:lineRule="auto"/>
              <w:rPr>
                <w:sz w:val="20"/>
                <w:szCs w:val="20"/>
              </w:rPr>
            </w:pPr>
            <w:r w:rsidRPr="001941B0">
              <w:rPr>
                <w:sz w:val="20"/>
                <w:szCs w:val="20"/>
              </w:rPr>
              <w:t>W</w:t>
            </w:r>
            <w:r w:rsidR="57B5C0C9" w:rsidRPr="001941B0">
              <w:rPr>
                <w:sz w:val="20"/>
                <w:szCs w:val="20"/>
              </w:rPr>
              <w:t xml:space="preserve"> zakresie PUI finansowanie jest zapewnione ze </w:t>
            </w:r>
            <w:r w:rsidR="2F7281D5" w:rsidRPr="001941B0">
              <w:rPr>
                <w:sz w:val="20"/>
                <w:szCs w:val="20"/>
              </w:rPr>
              <w:t>środkó</w:t>
            </w:r>
            <w:r w:rsidR="57B5C0C9" w:rsidRPr="001941B0">
              <w:rPr>
                <w:sz w:val="20"/>
                <w:szCs w:val="20"/>
              </w:rPr>
              <w:t xml:space="preserve">w </w:t>
            </w:r>
            <w:r w:rsidR="7F64A4FD" w:rsidRPr="001941B0">
              <w:rPr>
                <w:sz w:val="20"/>
                <w:szCs w:val="20"/>
              </w:rPr>
              <w:t>KPO</w:t>
            </w:r>
          </w:p>
        </w:tc>
      </w:tr>
    </w:tbl>
    <w:p w14:paraId="40F230A1" w14:textId="77777777" w:rsidR="00E12EA9" w:rsidRPr="00304D79" w:rsidRDefault="00E12EA9">
      <w:pPr>
        <w:rPr>
          <w:sz w:val="20"/>
          <w:szCs w:val="20"/>
        </w:rPr>
      </w:pPr>
    </w:p>
    <w:sectPr w:rsidR="00E12EA9" w:rsidRPr="00304D79" w:rsidSect="007D6E38">
      <w:headerReference w:type="default" r:id="rId20"/>
      <w:footerReference w:type="default" r:id="rId2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A6216" w14:textId="77777777" w:rsidR="00937E5E" w:rsidRDefault="00937E5E">
      <w:pPr>
        <w:spacing w:after="0" w:line="240" w:lineRule="auto"/>
      </w:pPr>
      <w:r>
        <w:separator/>
      </w:r>
    </w:p>
  </w:endnote>
  <w:endnote w:type="continuationSeparator" w:id="0">
    <w:p w14:paraId="58075A0B" w14:textId="77777777" w:rsidR="00937E5E" w:rsidRDefault="00937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Noto Sans">
    <w:charset w:val="00"/>
    <w:family w:val="swiss"/>
    <w:pitch w:val="variable"/>
    <w:sig w:usb0="E00082FF" w:usb1="400078FF" w:usb2="00000021" w:usb3="00000000" w:csb0="0000019F" w:csb1="00000000"/>
  </w:font>
  <w:font w:name="Lato-Regular">
    <w:altName w:val="Segoe UI"/>
    <w:panose1 w:val="00000000000000000000"/>
    <w:charset w:val="00"/>
    <w:family w:val="swiss"/>
    <w:notTrueType/>
    <w:pitch w:val="default"/>
    <w:sig w:usb0="00000007"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 w:name="CIDFont+F4">
    <w:altName w:val="Yu Gothic"/>
    <w:panose1 w:val="00000000000000000000"/>
    <w:charset w:val="80"/>
    <w:family w:val="auto"/>
    <w:notTrueType/>
    <w:pitch w:val="default"/>
    <w:sig w:usb0="00000001" w:usb1="08070000" w:usb2="00000010" w:usb3="00000000" w:csb0="00020000"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F159" w14:textId="77777777" w:rsidR="00911446" w:rsidRDefault="009114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CD87" w14:textId="77777777" w:rsidR="00937E5E" w:rsidRDefault="00937E5E">
      <w:pPr>
        <w:spacing w:after="0" w:line="240" w:lineRule="auto"/>
      </w:pPr>
      <w:r>
        <w:separator/>
      </w:r>
    </w:p>
  </w:footnote>
  <w:footnote w:type="continuationSeparator" w:id="0">
    <w:p w14:paraId="70AE3257" w14:textId="77777777" w:rsidR="00937E5E" w:rsidRDefault="00937E5E">
      <w:pPr>
        <w:spacing w:after="0" w:line="240" w:lineRule="auto"/>
      </w:pPr>
      <w:r>
        <w:continuationSeparator/>
      </w:r>
    </w:p>
  </w:footnote>
  <w:footnote w:id="1">
    <w:p w14:paraId="3B1B9CFD" w14:textId="77777777" w:rsidR="006434B8" w:rsidRPr="00E8303A" w:rsidRDefault="006434B8" w:rsidP="006434B8">
      <w:pPr>
        <w:pStyle w:val="Tekstprzypisudolnego"/>
        <w:rPr>
          <w:rFonts w:asciiTheme="minorHAnsi" w:hAnsiTheme="minorHAnsi"/>
        </w:rPr>
      </w:pPr>
      <w:r w:rsidRPr="00E8303A">
        <w:rPr>
          <w:rStyle w:val="Odwoanieprzypisudolnego"/>
          <w:rFonts w:asciiTheme="minorHAnsi" w:hAnsiTheme="minorHAnsi"/>
        </w:rPr>
        <w:footnoteRef/>
      </w:r>
      <w:r w:rsidRPr="00E8303A">
        <w:rPr>
          <w:rFonts w:asciiTheme="minorHAnsi" w:hAnsiTheme="minorHAnsi"/>
        </w:rPr>
        <w:t xml:space="preserve"> Dz. U. z 2024 r. poz. 581.</w:t>
      </w:r>
    </w:p>
  </w:footnote>
  <w:footnote w:id="2">
    <w:p w14:paraId="2D625D78" w14:textId="77777777" w:rsidR="006434B8" w:rsidRPr="00F645CE" w:rsidRDefault="006434B8" w:rsidP="006434B8">
      <w:pPr>
        <w:pStyle w:val="Tekstprzypisudolnego"/>
        <w:spacing w:after="0"/>
        <w:jc w:val="both"/>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Art. 10 ust. 1 oraz art. 11 ust. 4 ustawy z dnia 28 kwietnia 2011 r. o systemie informacji w ochronie zdrowia (Dz.U. z 2025 r. poz. 302). </w:t>
      </w:r>
    </w:p>
  </w:footnote>
  <w:footnote w:id="3">
    <w:p w14:paraId="31A889FB" w14:textId="77777777" w:rsidR="006434B8" w:rsidRPr="00F645CE" w:rsidRDefault="006434B8" w:rsidP="006434B8">
      <w:pPr>
        <w:pStyle w:val="Tekstprzypisudolnego"/>
        <w:jc w:val="both"/>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https://www.gov.pl/web/premier/projekt-ustawy-o-swiadczeniach-kompensacyjnych-wyplacanych-z-funduszu-kompensacyjnego-zdarzen-medycznych</w:t>
      </w:r>
    </w:p>
  </w:footnote>
  <w:footnote w:id="4">
    <w:p w14:paraId="29C21D4E" w14:textId="77777777" w:rsidR="006434B8" w:rsidRPr="00F645CE" w:rsidRDefault="006434B8" w:rsidP="006434B8">
      <w:pPr>
        <w:pStyle w:val="Tekstprzypisudolnego"/>
        <w:jc w:val="both"/>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 1 rozporządzenia Ministra Zdrowia z dnia 10 czerwca 2024 r. w sprawie sposobu ustalania wysokości świadczenia kompensacyjnego z tytułu zakażenia biologicznym czynnikiem chorobotwórczym, uszkodzenia ciała lub rozstroju zdrowia albo śmierci pacjenta (Dz.U. z 2024 r. poz. 883</w:t>
      </w:r>
      <w:r w:rsidRPr="00F645CE">
        <w:rPr>
          <w:rFonts w:asciiTheme="minorHAnsi" w:hAnsiTheme="minorHAnsi"/>
          <w:b/>
        </w:rPr>
        <w:t>).</w:t>
      </w:r>
    </w:p>
  </w:footnote>
  <w:footnote w:id="5">
    <w:p w14:paraId="64EA170C" w14:textId="77777777" w:rsidR="00C823E6" w:rsidRPr="00F645CE" w:rsidRDefault="00C823E6" w:rsidP="00C823E6">
      <w:pPr>
        <w:spacing w:line="242" w:lineRule="auto"/>
        <w:rPr>
          <w:rFonts w:cs="Arial"/>
          <w:sz w:val="20"/>
          <w:szCs w:val="20"/>
        </w:rPr>
      </w:pPr>
      <w:r w:rsidRPr="00F645CE">
        <w:rPr>
          <w:rFonts w:cs="Arial"/>
          <w:sz w:val="20"/>
          <w:szCs w:val="20"/>
          <w:vertAlign w:val="superscript"/>
        </w:rPr>
        <w:footnoteRef/>
      </w:r>
      <w:r w:rsidRPr="00F645CE">
        <w:rPr>
          <w:rFonts w:cs="Arial"/>
          <w:sz w:val="20"/>
          <w:szCs w:val="20"/>
        </w:rPr>
        <w:t xml:space="preserve"> </w:t>
      </w:r>
      <w:r w:rsidRPr="00F645CE">
        <w:rPr>
          <w:rFonts w:eastAsia="Arial" w:cs="Arial"/>
          <w:sz w:val="20"/>
          <w:szCs w:val="20"/>
        </w:rPr>
        <w:t>Uwzględniając</w:t>
      </w:r>
      <w:r w:rsidRPr="00F645CE">
        <w:rPr>
          <w:rFonts w:cs="Arial"/>
          <w:sz w:val="20"/>
          <w:szCs w:val="20"/>
        </w:rPr>
        <w:t xml:space="preserve"> stan wiedzy technicznej, koszt </w:t>
      </w:r>
      <w:r w:rsidRPr="00F645CE">
        <w:rPr>
          <w:rFonts w:eastAsia="Arial" w:cs="Arial"/>
          <w:sz w:val="20"/>
          <w:szCs w:val="20"/>
        </w:rPr>
        <w:t>wdrażania</w:t>
      </w:r>
      <w:r w:rsidRPr="00F645CE">
        <w:rPr>
          <w:rFonts w:cs="Arial"/>
          <w:sz w:val="20"/>
          <w:szCs w:val="20"/>
        </w:rPr>
        <w:t xml:space="preserve"> oraz charakter, zakres, kontekst i cele przetwarzania oraz ryzyko naruszenia praw lub </w:t>
      </w:r>
      <w:r w:rsidRPr="00F645CE">
        <w:rPr>
          <w:rFonts w:eastAsia="Arial" w:cs="Arial"/>
          <w:sz w:val="20"/>
          <w:szCs w:val="20"/>
        </w:rPr>
        <w:t>wolności</w:t>
      </w:r>
      <w:r w:rsidRPr="00F645CE">
        <w:rPr>
          <w:rFonts w:cs="Arial"/>
          <w:sz w:val="20"/>
          <w:szCs w:val="20"/>
        </w:rPr>
        <w:t xml:space="preserve"> osób fizycznych o </w:t>
      </w:r>
      <w:r w:rsidRPr="00F645CE">
        <w:rPr>
          <w:rFonts w:eastAsia="Arial" w:cs="Arial"/>
          <w:sz w:val="20"/>
          <w:szCs w:val="20"/>
        </w:rPr>
        <w:t>różnym</w:t>
      </w:r>
      <w:r w:rsidRPr="00F645CE">
        <w:rPr>
          <w:rFonts w:cs="Arial"/>
          <w:sz w:val="20"/>
          <w:szCs w:val="20"/>
        </w:rPr>
        <w:t xml:space="preserve"> </w:t>
      </w:r>
      <w:r w:rsidRPr="00F645CE">
        <w:rPr>
          <w:rFonts w:eastAsia="Arial" w:cs="Arial"/>
          <w:sz w:val="20"/>
          <w:szCs w:val="20"/>
        </w:rPr>
        <w:t>prawdopodobieństwie</w:t>
      </w:r>
      <w:r w:rsidRPr="00F645CE">
        <w:rPr>
          <w:rFonts w:cs="Arial"/>
          <w:sz w:val="20"/>
          <w:szCs w:val="20"/>
        </w:rPr>
        <w:t xml:space="preserve"> </w:t>
      </w:r>
      <w:r w:rsidRPr="00F645CE">
        <w:rPr>
          <w:rFonts w:eastAsia="Arial" w:cs="Arial"/>
          <w:sz w:val="20"/>
          <w:szCs w:val="20"/>
        </w:rPr>
        <w:t>wystąpienia</w:t>
      </w:r>
      <w:r w:rsidRPr="00F645CE">
        <w:rPr>
          <w:rFonts w:cs="Arial"/>
          <w:sz w:val="20"/>
          <w:szCs w:val="20"/>
        </w:rPr>
        <w:t xml:space="preserve"> i wadze </w:t>
      </w:r>
      <w:r w:rsidRPr="00F645CE">
        <w:rPr>
          <w:rFonts w:eastAsia="Arial" w:cs="Arial"/>
          <w:sz w:val="20"/>
          <w:szCs w:val="20"/>
        </w:rPr>
        <w:t>zagrożenia</w:t>
      </w:r>
      <w:r w:rsidRPr="00F645CE">
        <w:rPr>
          <w:rFonts w:cs="Arial"/>
          <w:sz w:val="20"/>
          <w:szCs w:val="20"/>
        </w:rPr>
        <w:t xml:space="preserve"> </w:t>
      </w:r>
      <w:r w:rsidRPr="00F645CE">
        <w:rPr>
          <w:rFonts w:eastAsia="Arial" w:cs="Arial"/>
          <w:sz w:val="20"/>
          <w:szCs w:val="20"/>
        </w:rPr>
        <w:t>wynikające</w:t>
      </w:r>
      <w:r w:rsidRPr="00F645CE">
        <w:rPr>
          <w:rFonts w:cs="Arial"/>
          <w:sz w:val="20"/>
          <w:szCs w:val="20"/>
        </w:rPr>
        <w:t xml:space="preserve"> z przetwarzania, administrator – zarówno przy </w:t>
      </w:r>
      <w:r w:rsidRPr="00F645CE">
        <w:rPr>
          <w:rFonts w:eastAsia="Arial" w:cs="Arial"/>
          <w:sz w:val="20"/>
          <w:szCs w:val="20"/>
        </w:rPr>
        <w:t>określaniu</w:t>
      </w:r>
      <w:r w:rsidRPr="00F645CE">
        <w:rPr>
          <w:rFonts w:cs="Arial"/>
          <w:sz w:val="20"/>
          <w:szCs w:val="20"/>
        </w:rPr>
        <w:t xml:space="preserve"> sposobów przetwarzania, jak i w czasie samego przetwarzania –</w:t>
      </w:r>
      <w:r w:rsidRPr="00F645CE">
        <w:rPr>
          <w:rFonts w:eastAsia="Arial" w:cs="Arial"/>
          <w:sz w:val="20"/>
          <w:szCs w:val="20"/>
        </w:rPr>
        <w:t>wdraża</w:t>
      </w:r>
      <w:r w:rsidRPr="00F645CE">
        <w:rPr>
          <w:rFonts w:cs="Arial"/>
          <w:sz w:val="20"/>
          <w:szCs w:val="20"/>
        </w:rPr>
        <w:t xml:space="preserve"> odpowiednie </w:t>
      </w:r>
      <w:r w:rsidRPr="00F645CE">
        <w:rPr>
          <w:rFonts w:eastAsia="Arial" w:cs="Arial"/>
          <w:sz w:val="20"/>
          <w:szCs w:val="20"/>
        </w:rPr>
        <w:t>środki</w:t>
      </w:r>
      <w:r w:rsidRPr="00F645CE">
        <w:rPr>
          <w:rFonts w:cs="Arial"/>
          <w:sz w:val="20"/>
          <w:szCs w:val="20"/>
        </w:rPr>
        <w:t xml:space="preserve"> techniczne i organizacyjne, takie jak pseudonimizacja, zaprojektowane w celu skutecznej realizacji zasad ochrony danych, takich jak minimalizacja danych, oraz w celu nadania przetwarzaniu </w:t>
      </w:r>
      <w:r w:rsidRPr="00F645CE">
        <w:rPr>
          <w:rFonts w:eastAsia="Arial" w:cs="Arial"/>
          <w:sz w:val="20"/>
          <w:szCs w:val="20"/>
        </w:rPr>
        <w:t>niezbędnych</w:t>
      </w:r>
      <w:r w:rsidRPr="00F645CE">
        <w:rPr>
          <w:rFonts w:cs="Arial"/>
          <w:sz w:val="20"/>
          <w:szCs w:val="20"/>
        </w:rPr>
        <w:t xml:space="preserve"> </w:t>
      </w:r>
      <w:r w:rsidRPr="00F645CE">
        <w:rPr>
          <w:rFonts w:eastAsia="Arial" w:cs="Arial"/>
          <w:sz w:val="20"/>
          <w:szCs w:val="20"/>
        </w:rPr>
        <w:t>zabezpieczeń,</w:t>
      </w:r>
      <w:r w:rsidRPr="00F645CE">
        <w:rPr>
          <w:rFonts w:cs="Arial"/>
          <w:sz w:val="20"/>
          <w:szCs w:val="20"/>
        </w:rPr>
        <w:t xml:space="preserve"> tak by </w:t>
      </w:r>
      <w:r w:rsidRPr="00F645CE">
        <w:rPr>
          <w:rFonts w:eastAsia="Arial" w:cs="Arial"/>
          <w:sz w:val="20"/>
          <w:szCs w:val="20"/>
        </w:rPr>
        <w:t>spełnić</w:t>
      </w:r>
      <w:r w:rsidRPr="00F645CE">
        <w:rPr>
          <w:rFonts w:cs="Arial"/>
          <w:sz w:val="20"/>
          <w:szCs w:val="20"/>
        </w:rPr>
        <w:t xml:space="preserve"> wymogi niniejszego </w:t>
      </w:r>
      <w:r w:rsidRPr="00F645CE">
        <w:rPr>
          <w:rFonts w:eastAsia="Arial" w:cs="Arial"/>
          <w:sz w:val="20"/>
          <w:szCs w:val="20"/>
        </w:rPr>
        <w:t>rozporządzenia</w:t>
      </w:r>
      <w:r w:rsidRPr="00F645CE">
        <w:rPr>
          <w:rFonts w:cs="Arial"/>
          <w:sz w:val="20"/>
          <w:szCs w:val="20"/>
        </w:rPr>
        <w:t xml:space="preserve"> oraz </w:t>
      </w:r>
      <w:r w:rsidRPr="00F645CE">
        <w:rPr>
          <w:rFonts w:eastAsia="Arial" w:cs="Arial"/>
          <w:sz w:val="20"/>
          <w:szCs w:val="20"/>
        </w:rPr>
        <w:t>chronić</w:t>
      </w:r>
      <w:r w:rsidRPr="00F645CE">
        <w:rPr>
          <w:rFonts w:cs="Arial"/>
          <w:sz w:val="20"/>
          <w:szCs w:val="20"/>
        </w:rPr>
        <w:t xml:space="preserve"> prawa osób, których dane </w:t>
      </w:r>
      <w:r w:rsidRPr="00F645CE">
        <w:rPr>
          <w:rFonts w:eastAsia="Arial" w:cs="Arial"/>
          <w:sz w:val="20"/>
          <w:szCs w:val="20"/>
        </w:rPr>
        <w:t>dotyczą.</w:t>
      </w:r>
    </w:p>
  </w:footnote>
  <w:footnote w:id="6">
    <w:p w14:paraId="03831E20" w14:textId="77777777" w:rsidR="00C823E6" w:rsidRPr="00F645CE" w:rsidRDefault="00C823E6" w:rsidP="00C823E6">
      <w:pPr>
        <w:spacing w:line="242" w:lineRule="auto"/>
        <w:rPr>
          <w:rFonts w:cs="Arial"/>
          <w:sz w:val="20"/>
          <w:szCs w:val="20"/>
        </w:rPr>
      </w:pPr>
      <w:r w:rsidRPr="00F645CE">
        <w:rPr>
          <w:rFonts w:cs="Arial"/>
          <w:sz w:val="20"/>
          <w:szCs w:val="20"/>
          <w:vertAlign w:val="superscript"/>
        </w:rPr>
        <w:footnoteRef/>
      </w:r>
      <w:r w:rsidRPr="00F645CE">
        <w:rPr>
          <w:rFonts w:cs="Arial"/>
          <w:sz w:val="20"/>
          <w:szCs w:val="20"/>
        </w:rPr>
        <w:t xml:space="preserve"> </w:t>
      </w:r>
      <w:r w:rsidRPr="00F645CE">
        <w:rPr>
          <w:rFonts w:eastAsia="Arial" w:cs="Arial"/>
          <w:sz w:val="20"/>
          <w:szCs w:val="20"/>
        </w:rPr>
        <w:t>Jeżeli</w:t>
      </w:r>
      <w:r w:rsidRPr="00F645CE">
        <w:rPr>
          <w:rFonts w:cs="Arial"/>
          <w:sz w:val="20"/>
          <w:szCs w:val="20"/>
        </w:rPr>
        <w:t xml:space="preserve"> dany rodzaj przetwarzania – w </w:t>
      </w:r>
      <w:r w:rsidRPr="00F645CE">
        <w:rPr>
          <w:rFonts w:eastAsia="Arial" w:cs="Arial"/>
          <w:sz w:val="20"/>
          <w:szCs w:val="20"/>
        </w:rPr>
        <w:t>szczególności</w:t>
      </w:r>
      <w:r w:rsidRPr="00F645CE">
        <w:rPr>
          <w:rFonts w:cs="Arial"/>
          <w:sz w:val="20"/>
          <w:szCs w:val="20"/>
        </w:rPr>
        <w:t xml:space="preserve"> z </w:t>
      </w:r>
      <w:r w:rsidRPr="00F645CE">
        <w:rPr>
          <w:rFonts w:eastAsia="Arial" w:cs="Arial"/>
          <w:sz w:val="20"/>
          <w:szCs w:val="20"/>
        </w:rPr>
        <w:t>użyciem</w:t>
      </w:r>
      <w:r w:rsidRPr="00F645CE">
        <w:rPr>
          <w:rFonts w:cs="Arial"/>
          <w:sz w:val="20"/>
          <w:szCs w:val="20"/>
        </w:rPr>
        <w:t xml:space="preserve"> nowych technologii – ze </w:t>
      </w:r>
      <w:r w:rsidRPr="00F645CE">
        <w:rPr>
          <w:rFonts w:eastAsia="Arial" w:cs="Arial"/>
          <w:sz w:val="20"/>
          <w:szCs w:val="20"/>
        </w:rPr>
        <w:t>względu</w:t>
      </w:r>
      <w:r w:rsidRPr="00F645CE">
        <w:rPr>
          <w:rFonts w:cs="Arial"/>
          <w:sz w:val="20"/>
          <w:szCs w:val="20"/>
        </w:rPr>
        <w:t xml:space="preserve"> na swój charakter, zakres, kontekst i cele z </w:t>
      </w:r>
      <w:r w:rsidRPr="00F645CE">
        <w:rPr>
          <w:rFonts w:eastAsia="Arial" w:cs="Arial"/>
          <w:sz w:val="20"/>
          <w:szCs w:val="20"/>
        </w:rPr>
        <w:t>dużym</w:t>
      </w:r>
      <w:r w:rsidRPr="00F645CE">
        <w:rPr>
          <w:rFonts w:cs="Arial"/>
          <w:sz w:val="20"/>
          <w:szCs w:val="20"/>
        </w:rPr>
        <w:t xml:space="preserve"> </w:t>
      </w:r>
      <w:r w:rsidRPr="00F645CE">
        <w:rPr>
          <w:rFonts w:eastAsia="Arial" w:cs="Arial"/>
          <w:sz w:val="20"/>
          <w:szCs w:val="20"/>
        </w:rPr>
        <w:t>prawdopodobieństwem</w:t>
      </w:r>
      <w:r w:rsidRPr="00F645CE">
        <w:rPr>
          <w:rFonts w:cs="Arial"/>
          <w:sz w:val="20"/>
          <w:szCs w:val="20"/>
        </w:rPr>
        <w:t xml:space="preserve"> </w:t>
      </w:r>
      <w:r w:rsidRPr="00F645CE">
        <w:rPr>
          <w:rFonts w:eastAsia="Arial" w:cs="Arial"/>
          <w:sz w:val="20"/>
          <w:szCs w:val="20"/>
        </w:rPr>
        <w:t>może</w:t>
      </w:r>
      <w:r w:rsidRPr="00F645CE">
        <w:rPr>
          <w:rFonts w:cs="Arial"/>
          <w:sz w:val="20"/>
          <w:szCs w:val="20"/>
        </w:rPr>
        <w:t xml:space="preserve"> </w:t>
      </w:r>
      <w:r w:rsidRPr="00F645CE">
        <w:rPr>
          <w:rFonts w:eastAsia="Arial" w:cs="Arial"/>
          <w:sz w:val="20"/>
          <w:szCs w:val="20"/>
        </w:rPr>
        <w:t>powodować</w:t>
      </w:r>
      <w:r w:rsidRPr="00F645CE">
        <w:rPr>
          <w:rFonts w:cs="Arial"/>
          <w:sz w:val="20"/>
          <w:szCs w:val="20"/>
        </w:rPr>
        <w:t xml:space="preserve"> wysokie ryzyko naruszenia praw lub </w:t>
      </w:r>
      <w:r w:rsidRPr="00F645CE">
        <w:rPr>
          <w:rFonts w:eastAsia="Arial" w:cs="Arial"/>
          <w:sz w:val="20"/>
          <w:szCs w:val="20"/>
        </w:rPr>
        <w:t>wolności</w:t>
      </w:r>
      <w:r w:rsidRPr="00F645CE">
        <w:rPr>
          <w:rFonts w:cs="Arial"/>
          <w:sz w:val="20"/>
          <w:szCs w:val="20"/>
        </w:rPr>
        <w:t xml:space="preserve"> osób fizycznych, administrator przed </w:t>
      </w:r>
      <w:r w:rsidRPr="00F645CE">
        <w:rPr>
          <w:rFonts w:eastAsia="Arial" w:cs="Arial"/>
          <w:sz w:val="20"/>
          <w:szCs w:val="20"/>
        </w:rPr>
        <w:t>rozpoczęciem</w:t>
      </w:r>
      <w:r w:rsidRPr="00F645CE">
        <w:rPr>
          <w:rFonts w:cs="Arial"/>
          <w:sz w:val="20"/>
          <w:szCs w:val="20"/>
        </w:rPr>
        <w:t xml:space="preserve"> przetwarzania dokonuje oceny skutków planowanych operacji przetwarzania dla ochrony danych osobowych. Dla podobnych operacji przetwarzania danych </w:t>
      </w:r>
      <w:r w:rsidRPr="00F645CE">
        <w:rPr>
          <w:rFonts w:eastAsia="Arial" w:cs="Arial"/>
          <w:sz w:val="20"/>
          <w:szCs w:val="20"/>
        </w:rPr>
        <w:t>wiążących</w:t>
      </w:r>
      <w:r w:rsidRPr="00F645CE">
        <w:rPr>
          <w:rFonts w:cs="Arial"/>
          <w:sz w:val="20"/>
          <w:szCs w:val="20"/>
        </w:rPr>
        <w:t xml:space="preserve"> </w:t>
      </w:r>
      <w:r w:rsidRPr="00F645CE">
        <w:rPr>
          <w:rFonts w:eastAsia="Arial" w:cs="Arial"/>
          <w:sz w:val="20"/>
          <w:szCs w:val="20"/>
        </w:rPr>
        <w:t>się</w:t>
      </w:r>
      <w:r w:rsidRPr="00F645CE">
        <w:rPr>
          <w:rFonts w:cs="Arial"/>
          <w:sz w:val="20"/>
          <w:szCs w:val="20"/>
        </w:rPr>
        <w:t xml:space="preserve"> z podobnym wysokim ryzykiem </w:t>
      </w:r>
      <w:r w:rsidRPr="00F645CE">
        <w:rPr>
          <w:rFonts w:eastAsia="Arial" w:cs="Arial"/>
          <w:sz w:val="20"/>
          <w:szCs w:val="20"/>
        </w:rPr>
        <w:t>można</w:t>
      </w:r>
      <w:r w:rsidRPr="00F645CE">
        <w:rPr>
          <w:rFonts w:cs="Arial"/>
          <w:sz w:val="20"/>
          <w:szCs w:val="20"/>
        </w:rPr>
        <w:t xml:space="preserve"> </w:t>
      </w:r>
      <w:r w:rsidRPr="00F645CE">
        <w:rPr>
          <w:rFonts w:eastAsia="Arial" w:cs="Arial"/>
          <w:sz w:val="20"/>
          <w:szCs w:val="20"/>
        </w:rPr>
        <w:t>przeprowadzić</w:t>
      </w:r>
      <w:r w:rsidRPr="00F645CE">
        <w:rPr>
          <w:rFonts w:cs="Arial"/>
          <w:sz w:val="20"/>
          <w:szCs w:val="20"/>
        </w:rPr>
        <w:t xml:space="preserve"> </w:t>
      </w:r>
      <w:r w:rsidRPr="00F645CE">
        <w:rPr>
          <w:rFonts w:eastAsia="Arial" w:cs="Arial"/>
          <w:sz w:val="20"/>
          <w:szCs w:val="20"/>
        </w:rPr>
        <w:t>pojedynczą</w:t>
      </w:r>
      <w:r w:rsidRPr="00F645CE">
        <w:rPr>
          <w:rFonts w:cs="Arial"/>
          <w:sz w:val="20"/>
          <w:szCs w:val="20"/>
        </w:rPr>
        <w:t xml:space="preserve"> </w:t>
      </w:r>
      <w:r w:rsidRPr="00F645CE">
        <w:rPr>
          <w:rFonts w:eastAsia="Arial" w:cs="Arial"/>
          <w:sz w:val="20"/>
          <w:szCs w:val="20"/>
        </w:rPr>
        <w:t>ocenę.</w:t>
      </w:r>
    </w:p>
  </w:footnote>
  <w:footnote w:id="7">
    <w:p w14:paraId="58276147" w14:textId="77777777" w:rsidR="00C823E6" w:rsidRPr="00F645CE" w:rsidRDefault="00C823E6" w:rsidP="00C823E6">
      <w:pPr>
        <w:spacing w:line="242" w:lineRule="auto"/>
        <w:rPr>
          <w:rFonts w:cs="Arial"/>
          <w:sz w:val="20"/>
          <w:szCs w:val="20"/>
        </w:rPr>
      </w:pPr>
      <w:r w:rsidRPr="00F645CE">
        <w:rPr>
          <w:rFonts w:cs="Arial"/>
          <w:sz w:val="20"/>
          <w:szCs w:val="20"/>
          <w:vertAlign w:val="superscript"/>
        </w:rPr>
        <w:footnoteRef/>
      </w:r>
      <w:r w:rsidRPr="00F645CE">
        <w:rPr>
          <w:rFonts w:cs="Arial"/>
          <w:sz w:val="20"/>
          <w:szCs w:val="20"/>
        </w:rPr>
        <w:t xml:space="preserve"> Ust. 1–7 nie </w:t>
      </w:r>
      <w:r w:rsidRPr="00F645CE">
        <w:rPr>
          <w:rFonts w:eastAsia="Arial" w:cs="Arial"/>
          <w:sz w:val="20"/>
          <w:szCs w:val="20"/>
        </w:rPr>
        <w:t>mają</w:t>
      </w:r>
      <w:r w:rsidRPr="00F645CE">
        <w:rPr>
          <w:rFonts w:cs="Arial"/>
          <w:sz w:val="20"/>
          <w:szCs w:val="20"/>
        </w:rPr>
        <w:t xml:space="preserve"> zastosowania, </w:t>
      </w:r>
      <w:r w:rsidRPr="00F645CE">
        <w:rPr>
          <w:rFonts w:eastAsia="Arial" w:cs="Arial"/>
          <w:sz w:val="20"/>
          <w:szCs w:val="20"/>
        </w:rPr>
        <w:t>jeżeli</w:t>
      </w:r>
      <w:r w:rsidRPr="00F645CE">
        <w:rPr>
          <w:rFonts w:cs="Arial"/>
          <w:sz w:val="20"/>
          <w:szCs w:val="20"/>
        </w:rPr>
        <w:t xml:space="preserve"> przetwarzanie na mocy art. 6 ust. 1 lit. c) lub e) ma </w:t>
      </w:r>
      <w:r w:rsidRPr="00F645CE">
        <w:rPr>
          <w:rFonts w:eastAsia="Arial" w:cs="Arial"/>
          <w:sz w:val="20"/>
          <w:szCs w:val="20"/>
        </w:rPr>
        <w:t>podstawę</w:t>
      </w:r>
      <w:r w:rsidRPr="00F645CE">
        <w:rPr>
          <w:rFonts w:cs="Arial"/>
          <w:sz w:val="20"/>
          <w:szCs w:val="20"/>
        </w:rPr>
        <w:t xml:space="preserve"> </w:t>
      </w:r>
      <w:r w:rsidRPr="00F645CE">
        <w:rPr>
          <w:rFonts w:eastAsia="Arial" w:cs="Arial"/>
          <w:sz w:val="20"/>
          <w:szCs w:val="20"/>
        </w:rPr>
        <w:t>prawną</w:t>
      </w:r>
      <w:r w:rsidRPr="00F645CE">
        <w:rPr>
          <w:rFonts w:cs="Arial"/>
          <w:sz w:val="20"/>
          <w:szCs w:val="20"/>
        </w:rPr>
        <w:t xml:space="preserve"> w prawie Unii lub w prawie </w:t>
      </w:r>
      <w:r w:rsidRPr="00F645CE">
        <w:rPr>
          <w:rFonts w:eastAsia="Arial" w:cs="Arial"/>
          <w:sz w:val="20"/>
          <w:szCs w:val="20"/>
        </w:rPr>
        <w:t>państwa</w:t>
      </w:r>
      <w:r w:rsidRPr="00F645CE">
        <w:rPr>
          <w:rFonts w:cs="Arial"/>
          <w:sz w:val="20"/>
          <w:szCs w:val="20"/>
        </w:rPr>
        <w:t xml:space="preserve"> </w:t>
      </w:r>
      <w:r w:rsidRPr="00F645CE">
        <w:rPr>
          <w:rFonts w:eastAsia="Arial" w:cs="Arial"/>
          <w:sz w:val="20"/>
          <w:szCs w:val="20"/>
        </w:rPr>
        <w:t>członkowskiego,</w:t>
      </w:r>
      <w:r w:rsidRPr="00F645CE">
        <w:rPr>
          <w:rFonts w:cs="Arial"/>
          <w:sz w:val="20"/>
          <w:szCs w:val="20"/>
        </w:rPr>
        <w:t xml:space="preserve"> któremu podlega administrator, i prawo takie reguluje </w:t>
      </w:r>
      <w:r w:rsidRPr="00F645CE">
        <w:rPr>
          <w:rFonts w:eastAsia="Arial" w:cs="Arial"/>
          <w:sz w:val="20"/>
          <w:szCs w:val="20"/>
        </w:rPr>
        <w:t>daną</w:t>
      </w:r>
      <w:r w:rsidRPr="00F645CE">
        <w:rPr>
          <w:rFonts w:cs="Arial"/>
          <w:sz w:val="20"/>
          <w:szCs w:val="20"/>
        </w:rPr>
        <w:t xml:space="preserve"> </w:t>
      </w:r>
      <w:r w:rsidRPr="00F645CE">
        <w:rPr>
          <w:rFonts w:eastAsia="Arial" w:cs="Arial"/>
          <w:sz w:val="20"/>
          <w:szCs w:val="20"/>
        </w:rPr>
        <w:t>operację</w:t>
      </w:r>
      <w:r w:rsidRPr="00F645CE">
        <w:rPr>
          <w:rFonts w:cs="Arial"/>
          <w:sz w:val="20"/>
          <w:szCs w:val="20"/>
        </w:rPr>
        <w:t xml:space="preserve"> przetwarzania lub zestaw operacji, a oceny skutków dla ochrony danych dokonano </w:t>
      </w:r>
      <w:r w:rsidRPr="00F645CE">
        <w:rPr>
          <w:rFonts w:eastAsia="Arial" w:cs="Arial"/>
          <w:sz w:val="20"/>
          <w:szCs w:val="20"/>
        </w:rPr>
        <w:t>już</w:t>
      </w:r>
      <w:r w:rsidRPr="00F645CE">
        <w:rPr>
          <w:rFonts w:cs="Arial"/>
          <w:sz w:val="20"/>
          <w:szCs w:val="20"/>
        </w:rPr>
        <w:t xml:space="preserve"> w ramach oceny skutków regulacji w </w:t>
      </w:r>
      <w:r w:rsidRPr="00F645CE">
        <w:rPr>
          <w:rFonts w:eastAsia="Arial" w:cs="Arial"/>
          <w:sz w:val="20"/>
          <w:szCs w:val="20"/>
        </w:rPr>
        <w:t>związku</w:t>
      </w:r>
      <w:r w:rsidRPr="00F645CE">
        <w:rPr>
          <w:rFonts w:cs="Arial"/>
          <w:sz w:val="20"/>
          <w:szCs w:val="20"/>
        </w:rPr>
        <w:t xml:space="preserve"> z </w:t>
      </w:r>
      <w:r w:rsidRPr="00F645CE">
        <w:rPr>
          <w:rFonts w:eastAsia="Arial" w:cs="Arial"/>
          <w:sz w:val="20"/>
          <w:szCs w:val="20"/>
        </w:rPr>
        <w:t>przyjęciem</w:t>
      </w:r>
      <w:r w:rsidRPr="00F645CE">
        <w:rPr>
          <w:rFonts w:cs="Arial"/>
          <w:sz w:val="20"/>
          <w:szCs w:val="20"/>
        </w:rPr>
        <w:t xml:space="preserve"> tej podstawy prawnej – chyba </w:t>
      </w:r>
      <w:r w:rsidRPr="00F645CE">
        <w:rPr>
          <w:rFonts w:eastAsia="Arial" w:cs="Arial"/>
          <w:sz w:val="20"/>
          <w:szCs w:val="20"/>
        </w:rPr>
        <w:t>że</w:t>
      </w:r>
      <w:r w:rsidRPr="00F645CE">
        <w:rPr>
          <w:rFonts w:cs="Arial"/>
          <w:sz w:val="20"/>
          <w:szCs w:val="20"/>
        </w:rPr>
        <w:t xml:space="preserve"> </w:t>
      </w:r>
      <w:r w:rsidRPr="00F645CE">
        <w:rPr>
          <w:rFonts w:eastAsia="Arial" w:cs="Arial"/>
          <w:sz w:val="20"/>
          <w:szCs w:val="20"/>
        </w:rPr>
        <w:t>państwa</w:t>
      </w:r>
      <w:r w:rsidRPr="00F645CE">
        <w:rPr>
          <w:rFonts w:cs="Arial"/>
          <w:sz w:val="20"/>
          <w:szCs w:val="20"/>
        </w:rPr>
        <w:t xml:space="preserve"> </w:t>
      </w:r>
      <w:r w:rsidRPr="00F645CE">
        <w:rPr>
          <w:rFonts w:eastAsia="Arial" w:cs="Arial"/>
          <w:sz w:val="20"/>
          <w:szCs w:val="20"/>
        </w:rPr>
        <w:t>członkowskie</w:t>
      </w:r>
      <w:r w:rsidRPr="00F645CE">
        <w:rPr>
          <w:rFonts w:cs="Arial"/>
          <w:sz w:val="20"/>
          <w:szCs w:val="20"/>
        </w:rPr>
        <w:t xml:space="preserve"> </w:t>
      </w:r>
      <w:r w:rsidRPr="00F645CE">
        <w:rPr>
          <w:rFonts w:eastAsia="Arial" w:cs="Arial"/>
          <w:sz w:val="20"/>
          <w:szCs w:val="20"/>
        </w:rPr>
        <w:t>uznają</w:t>
      </w:r>
      <w:r w:rsidRPr="00F645CE">
        <w:rPr>
          <w:rFonts w:cs="Arial"/>
          <w:sz w:val="20"/>
          <w:szCs w:val="20"/>
        </w:rPr>
        <w:t xml:space="preserve"> za </w:t>
      </w:r>
      <w:r w:rsidRPr="00F645CE">
        <w:rPr>
          <w:rFonts w:eastAsia="Arial" w:cs="Arial"/>
          <w:sz w:val="20"/>
          <w:szCs w:val="20"/>
        </w:rPr>
        <w:t>niezbędne,</w:t>
      </w:r>
      <w:r w:rsidRPr="00F645CE">
        <w:rPr>
          <w:rFonts w:cs="Arial"/>
          <w:sz w:val="20"/>
          <w:szCs w:val="20"/>
        </w:rPr>
        <w:t xml:space="preserve"> by przed </w:t>
      </w:r>
      <w:r w:rsidRPr="00F645CE">
        <w:rPr>
          <w:rFonts w:eastAsia="Arial" w:cs="Arial"/>
          <w:sz w:val="20"/>
          <w:szCs w:val="20"/>
        </w:rPr>
        <w:t>podjęciem</w:t>
      </w:r>
      <w:r w:rsidRPr="00F645CE">
        <w:rPr>
          <w:rFonts w:cs="Arial"/>
          <w:sz w:val="20"/>
          <w:szCs w:val="20"/>
        </w:rPr>
        <w:t xml:space="preserve"> </w:t>
      </w:r>
      <w:r w:rsidRPr="00F645CE">
        <w:rPr>
          <w:rFonts w:eastAsia="Arial" w:cs="Arial"/>
          <w:sz w:val="20"/>
          <w:szCs w:val="20"/>
        </w:rPr>
        <w:t>czynności</w:t>
      </w:r>
      <w:r w:rsidRPr="00F645CE">
        <w:rPr>
          <w:rFonts w:cs="Arial"/>
          <w:sz w:val="20"/>
          <w:szCs w:val="20"/>
        </w:rPr>
        <w:t xml:space="preserve"> przetwarzania </w:t>
      </w:r>
      <w:r w:rsidRPr="00F645CE">
        <w:rPr>
          <w:rFonts w:eastAsia="Arial" w:cs="Arial"/>
          <w:sz w:val="20"/>
          <w:szCs w:val="20"/>
        </w:rPr>
        <w:t>dokonać</w:t>
      </w:r>
      <w:r w:rsidRPr="00F645CE">
        <w:rPr>
          <w:rFonts w:cs="Arial"/>
          <w:sz w:val="20"/>
          <w:szCs w:val="20"/>
        </w:rPr>
        <w:t xml:space="preserve"> oceny skutków dla ochrony danych.</w:t>
      </w:r>
    </w:p>
  </w:footnote>
  <w:footnote w:id="8">
    <w:p w14:paraId="79CBCEB6" w14:textId="77777777" w:rsidR="00C823E6" w:rsidRPr="00F645CE" w:rsidRDefault="00C823E6" w:rsidP="00C823E6">
      <w:pPr>
        <w:spacing w:line="245" w:lineRule="auto"/>
        <w:rPr>
          <w:rFonts w:cs="Arial"/>
          <w:sz w:val="20"/>
          <w:szCs w:val="20"/>
        </w:rPr>
      </w:pPr>
      <w:r w:rsidRPr="00F645CE">
        <w:rPr>
          <w:rFonts w:cs="Arial"/>
          <w:sz w:val="20"/>
          <w:szCs w:val="20"/>
          <w:vertAlign w:val="superscript"/>
        </w:rPr>
        <w:footnoteRef/>
      </w:r>
      <w:r w:rsidRPr="00F645CE">
        <w:rPr>
          <w:rFonts w:cs="Arial"/>
          <w:sz w:val="20"/>
          <w:szCs w:val="20"/>
        </w:rPr>
        <w:t xml:space="preserve"> </w:t>
      </w:r>
      <w:r w:rsidRPr="00F645CE">
        <w:rPr>
          <w:rFonts w:eastAsia="Arial" w:cs="Arial"/>
          <w:sz w:val="20"/>
          <w:szCs w:val="20"/>
        </w:rPr>
        <w:t>Rozporządzenie</w:t>
      </w:r>
      <w:r w:rsidRPr="00F645CE">
        <w:rPr>
          <w:rFonts w:cs="Arial"/>
          <w:sz w:val="20"/>
          <w:szCs w:val="20"/>
        </w:rPr>
        <w:t xml:space="preserve"> Parlamentu Europejskiego i Rady (UE) 2024/1689 z dnia 13 czerwca 2024 r. w sprawie ustanowienia zharmonizowanych przepisów </w:t>
      </w:r>
      <w:r w:rsidRPr="00F645CE">
        <w:rPr>
          <w:rFonts w:eastAsia="Arial" w:cs="Arial"/>
          <w:sz w:val="20"/>
          <w:szCs w:val="20"/>
        </w:rPr>
        <w:t>dotyczących</w:t>
      </w:r>
      <w:r w:rsidRPr="00F645CE">
        <w:rPr>
          <w:rFonts w:cs="Arial"/>
          <w:sz w:val="20"/>
          <w:szCs w:val="20"/>
        </w:rPr>
        <w:t xml:space="preserve"> sztucznej inteligencji oraz zmiany </w:t>
      </w:r>
      <w:r w:rsidRPr="00F645CE">
        <w:rPr>
          <w:rFonts w:eastAsia="Arial" w:cs="Arial"/>
          <w:sz w:val="20"/>
          <w:szCs w:val="20"/>
        </w:rPr>
        <w:t>rozporządzeń</w:t>
      </w:r>
      <w:r w:rsidRPr="00F645CE">
        <w:rPr>
          <w:rFonts w:cs="Arial"/>
          <w:sz w:val="20"/>
          <w:szCs w:val="20"/>
        </w:rPr>
        <w:t xml:space="preserve"> (WE) nr 300/2008, (UE) nr 167/2013, (UE) nr 168/2013, (UE) 2018/858, (UE) 2018/1139 i (UE) 2019/2144 oraz dyrektyw 2014/90/UE, (UE) 2016/797 i (UE) 2020/1828 (akt w sprawie sztucznej inteligencji).</w:t>
      </w:r>
    </w:p>
  </w:footnote>
  <w:footnote w:id="9">
    <w:p w14:paraId="3F9DD0F6" w14:textId="444907F6" w:rsidR="009D45CC" w:rsidRPr="00F645CE" w:rsidRDefault="009D45CC" w:rsidP="00F15B8E">
      <w:pPr>
        <w:spacing w:line="245" w:lineRule="auto"/>
        <w:rPr>
          <w:sz w:val="20"/>
          <w:szCs w:val="20"/>
        </w:rPr>
      </w:pPr>
      <w:r w:rsidRPr="00F645CE">
        <w:rPr>
          <w:rFonts w:eastAsia="Arial" w:cs="Arial"/>
          <w:sz w:val="20"/>
          <w:szCs w:val="20"/>
          <w:vertAlign w:val="superscript"/>
        </w:rPr>
        <w:footnoteRef/>
      </w:r>
      <w:r w:rsidRPr="00F645CE">
        <w:rPr>
          <w:rFonts w:eastAsia="Arial" w:cs="Arial"/>
          <w:sz w:val="20"/>
          <w:szCs w:val="20"/>
        </w:rPr>
        <w:t xml:space="preserve"> </w:t>
      </w:r>
      <w:r w:rsidR="008E58AA" w:rsidRPr="00F645CE">
        <w:rPr>
          <w:rFonts w:eastAsia="Arial" w:cs="Arial"/>
          <w:sz w:val="20"/>
          <w:szCs w:val="20"/>
        </w:rPr>
        <w:t>Przed wdrożeniem systemu AI wysokiego ryzyka, o którym mowa w art. 6 ust. 2, z wyjątkiem systemów AI wysokiego ryzyka przeznaczonych do stosowania w obszarze wymienionym w załączniku III pkt 2, podmioty stosujące będące podmiotami prawa publicznego lub podmiotami prywatnymi świadczącymi usługi publiczne, oraz podmioty stosujące systemy AI wysokiego ryzyka, o których mowa w załączniku III pkt 5 lit. b) i c), przeprowadzają ocenę skutków w zakresie praw podstawowych, jakie może wywołać wykorzystanie takiego systemu. W tym celu podmioty stosujące przeprowadzają ocenę obejmującą: a) opis procesów podmiotu stosującego, w których system AI wysokiego ryzyka będzie wykorzystywany zgodnie z jego przeznaczeniem; b) opis okresu, w którym każdy system AI wysokiego ryzyka ma być wykorzystywany i opis częstotliwości tego wykorzystywania; c) kategorie osób fizycznych i grup, na które może mieć wpływ wykorzystywanie systemu; d) szczególne ryzyko szkody, które może mieć wpływ na kategorie osób fizycznych lub grupy osób zidentyfikowane zgodnie z lit. c) niniejszego ustępu, z uwzględnieniem informacji przekazanych przez dostawcę zgodnie z art. 13; e) opis wdrożenia środków nadzoru ze strony człowieka, zgodnie z instrukcją obsługi; f) środki, jakie należy podjąć w przypadku urzeczywistnienia się tego ryzyka, w tym ustalenia dotyczące zarządzania wewnętrznego i mechanizmów rozpatrywania skarg. 2. Obowiązek ustanowiony w ust. 1 ma zastosowanie do wykorzystania systemu AI wysokiego ryzyka po raz pierwszy. W podobnych przypadkach podmiot stosujący może polegać na wcześniej przeprowadzonych ocenach skutków dla praw podstawowych lub na istniejących ocenach skutków przeprowadzonych przez dostawcę. Jeżeli w trakcie wykorzystania systemu AI wysokiego ryzyka podmiot stosujący uzna, że którykolwiek z elementów wymienionych w ust. 1 uległ zmianie lub nie jest już aktualny, podmiot ten podejmuje niezbędne kroki w celu aktualizacji informacji. 3. Po przeprowadzeniu oceny, o której mowa w ust. 1 niniejszego artykułu, podmiot stosujący powiadamia organ nadzoru rynku o jej wynikach, przedkładając jako element tego powiadomienia wypełniony wzór, o którym mowa w ust. 5 niniejszego artykułu. W przypadku, o którym mowa w art. 46 ust. 1, podmioty stosujące mogą zostać zwolnione z obowiązku dokonania powiadomienia. 4. Jeżeli którykolwiek z obowiązków ustanowionych w niniejszym artykule został już spełniony w wyniku oceny skutków dla ochrony danych przeprowadzonej zgodnie z art. 35 rozporządzenia (UE) 2016/679 lub art. 27 dyrektywy (UE) 2016/680, ocena skutków w zakresie praw podstawowych, o której mowa w ust. 1 niniejszego artykułu, stanowi uzupełnieniem tej oceny skutków dla ochrony danych. 5. Urząd ds. AI opracowuje wzór kwestionariusza, w tym za pomocą zautomatyzowanego narzędzia, aby ułatwić podmiotom stosującym spełnianie ich obowiązków wynikających z niniejszego artykułu w sposób uproszczony.</w:t>
      </w:r>
      <w:r w:rsidR="008E58AA" w:rsidRPr="00F645CE">
        <w:rPr>
          <w:rFonts w:eastAsia="Calibri" w:cs="Times New Roman"/>
          <w:kern w:val="0"/>
          <w:sz w:val="20"/>
          <w:szCs w:val="20"/>
          <w14:ligatures w14:val="none"/>
        </w:rPr>
        <w:t xml:space="preserve"> </w:t>
      </w:r>
    </w:p>
  </w:footnote>
  <w:footnote w:id="10">
    <w:p w14:paraId="65AB1B6F" w14:textId="24A81ACD" w:rsidR="0017441B" w:rsidRPr="00F645CE" w:rsidRDefault="0017441B">
      <w:pPr>
        <w:pStyle w:val="Tekstprzypisudolnego"/>
        <w:rPr>
          <w:rFonts w:asciiTheme="minorHAnsi" w:hAnsiTheme="minorHAnsi" w:cs="Arial"/>
        </w:rPr>
      </w:pPr>
      <w:r w:rsidRPr="00F645CE">
        <w:rPr>
          <w:rStyle w:val="Odwoanieprzypisudolnego"/>
          <w:rFonts w:asciiTheme="minorHAnsi" w:hAnsiTheme="minorHAnsi" w:cs="Arial"/>
        </w:rPr>
        <w:footnoteRef/>
      </w:r>
      <w:r w:rsidRPr="00F645CE">
        <w:rPr>
          <w:rFonts w:asciiTheme="minorHAnsi" w:hAnsiTheme="minorHAnsi" w:cs="Arial"/>
        </w:rPr>
        <w:t xml:space="preserve"> </w:t>
      </w:r>
      <w:r w:rsidR="009D6146" w:rsidRPr="00F645CE">
        <w:rPr>
          <w:rFonts w:asciiTheme="minorHAnsi" w:hAnsiTheme="minorHAnsi" w:cs="Arial"/>
        </w:rPr>
        <w:t>Art. 5 ust. 1. Dane osobowe muszą być: a) przetwarzane zgodnie z prawem, rzetelnie i w sposób przejrzysty dla osoby, której dane dotyczą ("zgodność z prawem, rzetelność i przejrzystość"); b) zbierane w konkretnych, wyraźnych i prawnie uzasadnionych celach i nieprzetwarzane dalej w sposób niezgodny z tymi celami; dalsze przetwarzanie do celów archiwalnych w interesie publicznym, do celów badań naukowych lub historycznych lub do celów statystycznych nie jest uznawane w myśl art. 89 ust. 1 za niezgodne z pierwotnymi celami ("ograniczenie celu"); c) adekwatne, stosowne oraz ograniczone do tego, co niezbędne do celów, w których są przetwarzane ("minimalizacja danych"); d) prawidłowe i w razie potrzeby uaktualniane; należy podjąć wszelkie rozsądne działania, aby dane osobowe, które są nieprawidłowe w świetle celów ich przetwarzania, zostały niezwłocznie usunięte lub sprostowane ("prawidłowość"); e) przechowywane w formie umożliwiającej identyfikację osoby, której dane dotyczą, przez okres nie dłuższy, niż jest to niezbędne do celów, w których dane te są przetwarzane; dane osobowe można przechowywać przez okres dłuższy, o ile będą one przetwarzane wyłącznie do celów archiwalnych w interesie publicznym, do celów badań naukowych lub historycznych lub do celów statystycznych na mocy art. 89 ust. 1, z zastrzeżeniem że wdrożone zostaną odpowiednie środki techniczne i organizacyjne wymagane na mocy niniejszego rozporządzenia w celu ochrony praw i wolności osób, których dane dotyczą ("ograniczenie przechowywania"); f) przetwarzane w sposób zapewniający odpowiednie bezpieczeństwo danych osobowych, w tym ochronę przed niedozwolonym lub niezgodnym z prawem przetwarzaniem oraz przypadkową utratą, zniszczeniem lub uszkodzeniem, za pomocą odpowiednich środków technicznych lub organizacyjnych ("integralność i poufność"). 2. Administrator jest odpowiedzialny za przestrzeganie przepisów ust. 1 i musi być w stanie wykazać ich przestrzeganie ("rozliczalność").</w:t>
      </w:r>
    </w:p>
  </w:footnote>
  <w:footnote w:id="11">
    <w:p w14:paraId="47ED4C93" w14:textId="77777777" w:rsidR="003308E6" w:rsidRPr="00F645CE" w:rsidRDefault="003308E6" w:rsidP="003308E6">
      <w:pPr>
        <w:spacing w:line="252" w:lineRule="auto"/>
        <w:rPr>
          <w:rFonts w:cs="Arial"/>
          <w:sz w:val="20"/>
          <w:szCs w:val="20"/>
        </w:rPr>
      </w:pPr>
      <w:r w:rsidRPr="00F645CE">
        <w:rPr>
          <w:rFonts w:cs="Arial"/>
          <w:sz w:val="20"/>
          <w:szCs w:val="20"/>
          <w:vertAlign w:val="superscript"/>
        </w:rPr>
        <w:footnoteRef/>
      </w:r>
      <w:r w:rsidRPr="00F645CE">
        <w:rPr>
          <w:rFonts w:cs="Arial"/>
          <w:sz w:val="20"/>
          <w:szCs w:val="20"/>
        </w:rPr>
        <w:t xml:space="preserve"> „Administrator jest odpowiedzialny za przestrzeganie przepisów ust. 1 i musi </w:t>
      </w:r>
      <w:r w:rsidRPr="00F645CE">
        <w:rPr>
          <w:rFonts w:eastAsia="Arial" w:cs="Arial"/>
          <w:sz w:val="20"/>
          <w:szCs w:val="20"/>
        </w:rPr>
        <w:t>być</w:t>
      </w:r>
      <w:r w:rsidRPr="00F645CE">
        <w:rPr>
          <w:rFonts w:cs="Arial"/>
          <w:sz w:val="20"/>
          <w:szCs w:val="20"/>
        </w:rPr>
        <w:t xml:space="preserve"> w stanie </w:t>
      </w:r>
      <w:r w:rsidRPr="00F645CE">
        <w:rPr>
          <w:rFonts w:eastAsia="Arial" w:cs="Arial"/>
          <w:sz w:val="20"/>
          <w:szCs w:val="20"/>
        </w:rPr>
        <w:t>wykazać</w:t>
      </w:r>
      <w:r w:rsidRPr="00F645CE">
        <w:rPr>
          <w:rFonts w:cs="Arial"/>
          <w:sz w:val="20"/>
          <w:szCs w:val="20"/>
        </w:rPr>
        <w:t xml:space="preserve"> ich przestrzeganie </w:t>
      </w:r>
      <w:r w:rsidRPr="00F645CE">
        <w:rPr>
          <w:rFonts w:eastAsia="Arial" w:cs="Arial"/>
          <w:sz w:val="20"/>
          <w:szCs w:val="20"/>
        </w:rPr>
        <w:t>("rozliczalność")”.</w:t>
      </w:r>
    </w:p>
  </w:footnote>
  <w:footnote w:id="12">
    <w:p w14:paraId="759F7200" w14:textId="77777777" w:rsidR="003308E6" w:rsidRPr="00F645CE" w:rsidRDefault="003308E6" w:rsidP="003308E6">
      <w:pPr>
        <w:jc w:val="both"/>
        <w:rPr>
          <w:rFonts w:cs="Arial"/>
          <w:sz w:val="20"/>
          <w:szCs w:val="20"/>
        </w:rPr>
      </w:pPr>
      <w:r w:rsidRPr="00F645CE">
        <w:rPr>
          <w:rFonts w:cs="Arial"/>
          <w:sz w:val="20"/>
          <w:szCs w:val="20"/>
          <w:vertAlign w:val="superscript"/>
        </w:rPr>
        <w:footnoteRef/>
      </w:r>
      <w:r w:rsidRPr="00F645CE">
        <w:rPr>
          <w:rFonts w:cs="Arial"/>
          <w:sz w:val="20"/>
          <w:szCs w:val="20"/>
        </w:rPr>
        <w:t xml:space="preserve"> Zgodnie z </w:t>
      </w:r>
      <w:r w:rsidRPr="00F645CE">
        <w:rPr>
          <w:rFonts w:eastAsia="Arial" w:cs="Arial"/>
          <w:sz w:val="20"/>
          <w:szCs w:val="20"/>
        </w:rPr>
        <w:t>zasadą</w:t>
      </w:r>
      <w:r w:rsidRPr="00F645CE">
        <w:rPr>
          <w:rFonts w:cs="Arial"/>
          <w:sz w:val="20"/>
          <w:szCs w:val="20"/>
        </w:rPr>
        <w:t xml:space="preserve"> </w:t>
      </w:r>
      <w:r w:rsidRPr="00F645CE">
        <w:rPr>
          <w:rFonts w:eastAsia="Arial" w:cs="Arial"/>
          <w:sz w:val="20"/>
          <w:szCs w:val="20"/>
        </w:rPr>
        <w:t>prawidłowości</w:t>
      </w:r>
      <w:r w:rsidRPr="00F645CE">
        <w:rPr>
          <w:rFonts w:cs="Arial"/>
          <w:sz w:val="20"/>
          <w:szCs w:val="20"/>
        </w:rPr>
        <w:t xml:space="preserve"> dane osobowe </w:t>
      </w:r>
      <w:r w:rsidRPr="00F645CE">
        <w:rPr>
          <w:rFonts w:eastAsia="Arial" w:cs="Arial"/>
          <w:sz w:val="20"/>
          <w:szCs w:val="20"/>
        </w:rPr>
        <w:t>muszą</w:t>
      </w:r>
      <w:r w:rsidRPr="00F645CE">
        <w:rPr>
          <w:rFonts w:cs="Arial"/>
          <w:sz w:val="20"/>
          <w:szCs w:val="20"/>
        </w:rPr>
        <w:t xml:space="preserve"> </w:t>
      </w:r>
      <w:r w:rsidRPr="00F645CE">
        <w:rPr>
          <w:rFonts w:eastAsia="Arial" w:cs="Arial"/>
          <w:sz w:val="20"/>
          <w:szCs w:val="20"/>
        </w:rPr>
        <w:t>być</w:t>
      </w:r>
      <w:r w:rsidRPr="00F645CE">
        <w:rPr>
          <w:rFonts w:cs="Arial"/>
          <w:sz w:val="20"/>
          <w:szCs w:val="20"/>
        </w:rPr>
        <w:t xml:space="preserve"> </w:t>
      </w:r>
      <w:r w:rsidRPr="00F645CE">
        <w:rPr>
          <w:rFonts w:eastAsia="Arial" w:cs="Arial"/>
          <w:sz w:val="20"/>
          <w:szCs w:val="20"/>
        </w:rPr>
        <w:t>prawidłowe</w:t>
      </w:r>
      <w:r w:rsidRPr="00F645CE">
        <w:rPr>
          <w:rFonts w:cs="Arial"/>
          <w:sz w:val="20"/>
          <w:szCs w:val="20"/>
        </w:rPr>
        <w:t xml:space="preserve"> i w razie potrzeby uaktualniane; </w:t>
      </w:r>
      <w:r w:rsidRPr="00F645CE">
        <w:rPr>
          <w:rFonts w:eastAsia="Arial" w:cs="Arial"/>
          <w:sz w:val="20"/>
          <w:szCs w:val="20"/>
        </w:rPr>
        <w:t>należy</w:t>
      </w:r>
      <w:r w:rsidRPr="00F645CE">
        <w:rPr>
          <w:rFonts w:cs="Arial"/>
          <w:sz w:val="20"/>
          <w:szCs w:val="20"/>
        </w:rPr>
        <w:t xml:space="preserve"> </w:t>
      </w:r>
      <w:r w:rsidRPr="00F645CE">
        <w:rPr>
          <w:rFonts w:eastAsia="Arial" w:cs="Arial"/>
          <w:sz w:val="20"/>
          <w:szCs w:val="20"/>
        </w:rPr>
        <w:t>podjąć</w:t>
      </w:r>
      <w:r w:rsidRPr="00F645CE">
        <w:rPr>
          <w:rFonts w:cs="Arial"/>
          <w:sz w:val="20"/>
          <w:szCs w:val="20"/>
        </w:rPr>
        <w:t xml:space="preserve"> wszelkie </w:t>
      </w:r>
      <w:r w:rsidRPr="00F645CE">
        <w:rPr>
          <w:rFonts w:eastAsia="Arial" w:cs="Arial"/>
          <w:sz w:val="20"/>
          <w:szCs w:val="20"/>
        </w:rPr>
        <w:t>rozsądne</w:t>
      </w:r>
      <w:r w:rsidRPr="00F645CE">
        <w:rPr>
          <w:rFonts w:cs="Arial"/>
          <w:sz w:val="20"/>
          <w:szCs w:val="20"/>
        </w:rPr>
        <w:t xml:space="preserve"> </w:t>
      </w:r>
      <w:r w:rsidRPr="00F645CE">
        <w:rPr>
          <w:rFonts w:eastAsia="Arial" w:cs="Arial"/>
          <w:sz w:val="20"/>
          <w:szCs w:val="20"/>
        </w:rPr>
        <w:t>działania,</w:t>
      </w:r>
      <w:r w:rsidRPr="00F645CE">
        <w:rPr>
          <w:rFonts w:cs="Arial"/>
          <w:sz w:val="20"/>
          <w:szCs w:val="20"/>
        </w:rPr>
        <w:t xml:space="preserve"> aby dane osobowe, które </w:t>
      </w:r>
      <w:r w:rsidRPr="00F645CE">
        <w:rPr>
          <w:rFonts w:eastAsia="Arial" w:cs="Arial"/>
          <w:sz w:val="20"/>
          <w:szCs w:val="20"/>
        </w:rPr>
        <w:t>są</w:t>
      </w:r>
      <w:r w:rsidRPr="00F645CE">
        <w:rPr>
          <w:rFonts w:cs="Arial"/>
          <w:sz w:val="20"/>
          <w:szCs w:val="20"/>
        </w:rPr>
        <w:t xml:space="preserve"> </w:t>
      </w:r>
      <w:r w:rsidRPr="00F645CE">
        <w:rPr>
          <w:rFonts w:eastAsia="Arial" w:cs="Arial"/>
          <w:sz w:val="20"/>
          <w:szCs w:val="20"/>
        </w:rPr>
        <w:t>nieprawidłowe</w:t>
      </w:r>
      <w:r w:rsidRPr="00F645CE">
        <w:rPr>
          <w:rFonts w:cs="Arial"/>
          <w:sz w:val="20"/>
          <w:szCs w:val="20"/>
        </w:rPr>
        <w:t xml:space="preserve"> w </w:t>
      </w:r>
      <w:r w:rsidRPr="00F645CE">
        <w:rPr>
          <w:rFonts w:eastAsia="Arial" w:cs="Arial"/>
          <w:sz w:val="20"/>
          <w:szCs w:val="20"/>
        </w:rPr>
        <w:t>świetle</w:t>
      </w:r>
      <w:r w:rsidRPr="00F645CE">
        <w:rPr>
          <w:rFonts w:cs="Arial"/>
          <w:sz w:val="20"/>
          <w:szCs w:val="20"/>
        </w:rPr>
        <w:t xml:space="preserve"> celów ich przetwarzania, </w:t>
      </w:r>
      <w:r w:rsidRPr="00F645CE">
        <w:rPr>
          <w:rFonts w:eastAsia="Arial" w:cs="Arial"/>
          <w:sz w:val="20"/>
          <w:szCs w:val="20"/>
        </w:rPr>
        <w:t>zostały</w:t>
      </w:r>
      <w:r w:rsidRPr="00F645CE">
        <w:rPr>
          <w:rFonts w:cs="Arial"/>
          <w:sz w:val="20"/>
          <w:szCs w:val="20"/>
        </w:rPr>
        <w:t xml:space="preserve"> </w:t>
      </w:r>
      <w:r w:rsidRPr="00F645CE">
        <w:rPr>
          <w:rFonts w:eastAsia="Arial" w:cs="Arial"/>
          <w:sz w:val="20"/>
          <w:szCs w:val="20"/>
        </w:rPr>
        <w:t>niezwłocznie</w:t>
      </w:r>
      <w:r w:rsidRPr="00F645CE">
        <w:rPr>
          <w:rFonts w:cs="Arial"/>
          <w:sz w:val="20"/>
          <w:szCs w:val="20"/>
        </w:rPr>
        <w:t xml:space="preserve"> </w:t>
      </w:r>
      <w:r w:rsidRPr="00F645CE">
        <w:rPr>
          <w:rFonts w:eastAsia="Arial" w:cs="Arial"/>
          <w:sz w:val="20"/>
          <w:szCs w:val="20"/>
        </w:rPr>
        <w:t>usunięte</w:t>
      </w:r>
      <w:r w:rsidRPr="00F645CE">
        <w:rPr>
          <w:rFonts w:cs="Arial"/>
          <w:sz w:val="20"/>
          <w:szCs w:val="20"/>
        </w:rPr>
        <w:t xml:space="preserve"> lub sprostowane.</w:t>
      </w:r>
    </w:p>
  </w:footnote>
  <w:footnote w:id="13">
    <w:p w14:paraId="67001299" w14:textId="77777777" w:rsidR="007D3FBC" w:rsidRPr="00F645CE" w:rsidRDefault="007D3FBC" w:rsidP="007D3FBC">
      <w:pPr>
        <w:spacing w:line="242" w:lineRule="auto"/>
        <w:rPr>
          <w:sz w:val="20"/>
          <w:szCs w:val="20"/>
        </w:rPr>
      </w:pPr>
      <w:r w:rsidRPr="00F645CE">
        <w:rPr>
          <w:sz w:val="20"/>
          <w:szCs w:val="20"/>
          <w:vertAlign w:val="superscript"/>
        </w:rPr>
        <w:footnoteRef/>
      </w:r>
      <w:r w:rsidRPr="00F645CE">
        <w:rPr>
          <w:sz w:val="20"/>
          <w:szCs w:val="20"/>
        </w:rPr>
        <w:t xml:space="preserve"> Zgodnie z art. 87 RODO: </w:t>
      </w:r>
      <w:r w:rsidRPr="00F645CE">
        <w:rPr>
          <w:rFonts w:eastAsia="Arial" w:cs="Arial"/>
          <w:sz w:val="20"/>
          <w:szCs w:val="20"/>
        </w:rPr>
        <w:t>Państwa</w:t>
      </w:r>
      <w:r w:rsidRPr="00F645CE">
        <w:rPr>
          <w:sz w:val="20"/>
          <w:szCs w:val="20"/>
        </w:rPr>
        <w:t xml:space="preserve"> </w:t>
      </w:r>
      <w:r w:rsidRPr="00F645CE">
        <w:rPr>
          <w:rFonts w:eastAsia="Arial" w:cs="Arial"/>
          <w:sz w:val="20"/>
          <w:szCs w:val="20"/>
        </w:rPr>
        <w:t>członkowskie</w:t>
      </w:r>
      <w:r w:rsidRPr="00F645CE">
        <w:rPr>
          <w:sz w:val="20"/>
          <w:szCs w:val="20"/>
        </w:rPr>
        <w:t xml:space="preserve"> </w:t>
      </w:r>
      <w:r w:rsidRPr="00F645CE">
        <w:rPr>
          <w:rFonts w:eastAsia="Arial" w:cs="Arial"/>
          <w:sz w:val="20"/>
          <w:szCs w:val="20"/>
        </w:rPr>
        <w:t>mogą</w:t>
      </w:r>
      <w:r w:rsidRPr="00F645CE">
        <w:rPr>
          <w:sz w:val="20"/>
          <w:szCs w:val="20"/>
        </w:rPr>
        <w:t xml:space="preserve"> </w:t>
      </w:r>
      <w:r w:rsidRPr="00F645CE">
        <w:rPr>
          <w:rFonts w:eastAsia="Arial" w:cs="Arial"/>
          <w:sz w:val="20"/>
          <w:szCs w:val="20"/>
        </w:rPr>
        <w:t>określić</w:t>
      </w:r>
      <w:r w:rsidRPr="00F645CE">
        <w:rPr>
          <w:sz w:val="20"/>
          <w:szCs w:val="20"/>
        </w:rPr>
        <w:t xml:space="preserve"> szczególne warunki przetwarzania krajowego numeru identyfikacyjnego lub innego identyfikatora o </w:t>
      </w:r>
      <w:r w:rsidRPr="00F645CE">
        <w:rPr>
          <w:rFonts w:eastAsia="Arial" w:cs="Arial"/>
          <w:sz w:val="20"/>
          <w:szCs w:val="20"/>
        </w:rPr>
        <w:t>zasięgu</w:t>
      </w:r>
      <w:r w:rsidRPr="00F645CE">
        <w:rPr>
          <w:sz w:val="20"/>
          <w:szCs w:val="20"/>
        </w:rPr>
        <w:t xml:space="preserve"> ogólnym. W takim przypadku krajowego numeru identyfikacyjnego lub innego identyfikatora o </w:t>
      </w:r>
      <w:r w:rsidRPr="00F645CE">
        <w:rPr>
          <w:rFonts w:eastAsia="Arial" w:cs="Arial"/>
          <w:sz w:val="20"/>
          <w:szCs w:val="20"/>
        </w:rPr>
        <w:t>zasięgu</w:t>
      </w:r>
      <w:r w:rsidRPr="00F645CE">
        <w:rPr>
          <w:sz w:val="20"/>
          <w:szCs w:val="20"/>
        </w:rPr>
        <w:t xml:space="preserve"> ogólnym </w:t>
      </w:r>
      <w:r w:rsidRPr="00F645CE">
        <w:rPr>
          <w:rFonts w:eastAsia="Arial" w:cs="Arial"/>
          <w:sz w:val="20"/>
          <w:szCs w:val="20"/>
        </w:rPr>
        <w:t>używa</w:t>
      </w:r>
      <w:r w:rsidRPr="00F645CE">
        <w:rPr>
          <w:sz w:val="20"/>
          <w:szCs w:val="20"/>
        </w:rPr>
        <w:t xml:space="preserve"> </w:t>
      </w:r>
      <w:r w:rsidRPr="00F645CE">
        <w:rPr>
          <w:rFonts w:eastAsia="Arial" w:cs="Arial"/>
          <w:sz w:val="20"/>
          <w:szCs w:val="20"/>
        </w:rPr>
        <w:t>się</w:t>
      </w:r>
      <w:r w:rsidRPr="00F645CE">
        <w:rPr>
          <w:sz w:val="20"/>
          <w:szCs w:val="20"/>
        </w:rPr>
        <w:t xml:space="preserve"> </w:t>
      </w:r>
      <w:r w:rsidRPr="00F645CE">
        <w:rPr>
          <w:rFonts w:eastAsia="Arial" w:cs="Arial"/>
          <w:sz w:val="20"/>
          <w:szCs w:val="20"/>
        </w:rPr>
        <w:t>wyłącznie</w:t>
      </w:r>
      <w:r w:rsidRPr="00F645CE">
        <w:rPr>
          <w:sz w:val="20"/>
          <w:szCs w:val="20"/>
        </w:rPr>
        <w:t xml:space="preserve"> z zachowaniem odpowiednich </w:t>
      </w:r>
      <w:r w:rsidRPr="00F645CE">
        <w:rPr>
          <w:rFonts w:eastAsia="Arial" w:cs="Arial"/>
          <w:sz w:val="20"/>
          <w:szCs w:val="20"/>
        </w:rPr>
        <w:t>zabezpieczeń</w:t>
      </w:r>
      <w:r w:rsidRPr="00F645CE">
        <w:rPr>
          <w:sz w:val="20"/>
          <w:szCs w:val="20"/>
        </w:rPr>
        <w:t xml:space="preserve"> praw i </w:t>
      </w:r>
      <w:r w:rsidRPr="00F645CE">
        <w:rPr>
          <w:rFonts w:eastAsia="Arial" w:cs="Arial"/>
          <w:sz w:val="20"/>
          <w:szCs w:val="20"/>
        </w:rPr>
        <w:t>wolności</w:t>
      </w:r>
      <w:r w:rsidRPr="00F645CE">
        <w:rPr>
          <w:sz w:val="20"/>
          <w:szCs w:val="20"/>
        </w:rPr>
        <w:t xml:space="preserve"> osoby, której dane </w:t>
      </w:r>
      <w:r w:rsidRPr="00F645CE">
        <w:rPr>
          <w:rFonts w:eastAsia="Arial" w:cs="Arial"/>
          <w:sz w:val="20"/>
          <w:szCs w:val="20"/>
        </w:rPr>
        <w:t>dotyczą,</w:t>
      </w:r>
      <w:r w:rsidRPr="00F645CE">
        <w:rPr>
          <w:sz w:val="20"/>
          <w:szCs w:val="20"/>
        </w:rPr>
        <w:t xml:space="preserve"> które przewiduje niniejsze </w:t>
      </w:r>
      <w:r w:rsidRPr="00F645CE">
        <w:rPr>
          <w:rFonts w:eastAsia="Arial" w:cs="Arial"/>
          <w:sz w:val="20"/>
          <w:szCs w:val="20"/>
        </w:rPr>
        <w:t>rozporządzenie.</w:t>
      </w:r>
    </w:p>
  </w:footnote>
  <w:footnote w:id="14">
    <w:p w14:paraId="0CCE49DA" w14:textId="2E2D986A" w:rsidR="00D274E2" w:rsidRPr="00F645CE" w:rsidRDefault="00D274E2" w:rsidP="00CA13E8">
      <w:pPr>
        <w:pStyle w:val="Tekstprzypisudolnego"/>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w:t>
      </w:r>
      <w:r w:rsidR="00CA13E8" w:rsidRPr="00F645CE">
        <w:rPr>
          <w:rFonts w:asciiTheme="minorHAnsi" w:hAnsiTheme="minorHAnsi"/>
        </w:rPr>
        <w:t>Rozporządzenie Parlamentu Europejskiego i Rady (UE) 2022/868 z dnia 30 maja 2022 r. w sprawi</w:t>
      </w:r>
      <w:r w:rsidR="00A45D03" w:rsidRPr="00F645CE">
        <w:rPr>
          <w:rFonts w:asciiTheme="minorHAnsi" w:hAnsiTheme="minorHAnsi"/>
        </w:rPr>
        <w:t xml:space="preserve"> </w:t>
      </w:r>
      <w:r w:rsidR="00CA13E8" w:rsidRPr="00F645CE">
        <w:rPr>
          <w:rFonts w:asciiTheme="minorHAnsi" w:hAnsiTheme="minorHAnsi"/>
        </w:rPr>
        <w:t>europejskiego zarządzania danymi i zmieniające rozporządzenie (UE) 2018/1724 (akt w sprawie</w:t>
      </w:r>
      <w:r w:rsidR="00A45D03" w:rsidRPr="00F645CE">
        <w:rPr>
          <w:rFonts w:asciiTheme="minorHAnsi" w:hAnsiTheme="minorHAnsi"/>
        </w:rPr>
        <w:t xml:space="preserve"> </w:t>
      </w:r>
      <w:r w:rsidR="00CA13E8" w:rsidRPr="00F645CE">
        <w:rPr>
          <w:rFonts w:asciiTheme="minorHAnsi" w:hAnsiTheme="minorHAnsi"/>
        </w:rPr>
        <w:t>zarządzania danymi).</w:t>
      </w:r>
    </w:p>
  </w:footnote>
  <w:footnote w:id="15">
    <w:p w14:paraId="2DF407FD" w14:textId="7A7F922D" w:rsidR="00523E35" w:rsidRDefault="00523E35" w:rsidP="00523E35">
      <w:pPr>
        <w:pStyle w:val="Tekstprzypisudolnego"/>
      </w:pPr>
      <w:r w:rsidRPr="00F645CE">
        <w:rPr>
          <w:rStyle w:val="Odwoanieprzypisudolnego"/>
          <w:rFonts w:asciiTheme="minorHAnsi" w:hAnsiTheme="minorHAnsi"/>
        </w:rPr>
        <w:footnoteRef/>
      </w:r>
      <w:r w:rsidRPr="00F645CE">
        <w:rPr>
          <w:rFonts w:asciiTheme="minorHAnsi" w:hAnsiTheme="minorHAnsi"/>
        </w:rPr>
        <w:t xml:space="preserve"> Rozporządzenie Parlamentu Europejskiego i Rady (UE) 2025/327 z dnia 11 lutego 2025 r. w sprawie</w:t>
      </w:r>
      <w:r w:rsidR="00DF70FF" w:rsidRPr="00F645CE">
        <w:rPr>
          <w:rFonts w:asciiTheme="minorHAnsi" w:hAnsiTheme="minorHAnsi"/>
        </w:rPr>
        <w:t xml:space="preserve"> </w:t>
      </w:r>
      <w:r w:rsidRPr="00F645CE">
        <w:rPr>
          <w:rFonts w:asciiTheme="minorHAnsi" w:hAnsiTheme="minorHAnsi"/>
        </w:rPr>
        <w:t>europejskiej przestrzeni danych dotyczących zdrowia oraz zmiany dyrektywy 2011/24/UE i rozporządzenia</w:t>
      </w:r>
      <w:r w:rsidR="00DF70FF" w:rsidRPr="00F645CE">
        <w:rPr>
          <w:rFonts w:asciiTheme="minorHAnsi" w:hAnsiTheme="minorHAnsi"/>
        </w:rPr>
        <w:t xml:space="preserve"> </w:t>
      </w:r>
      <w:r w:rsidRPr="00F645CE">
        <w:rPr>
          <w:rFonts w:asciiTheme="minorHAnsi" w:hAnsiTheme="minorHAnsi"/>
        </w:rPr>
        <w:t>(UE) 2024/2847 (dalej: EHDS).</w:t>
      </w:r>
    </w:p>
  </w:footnote>
  <w:footnote w:id="16">
    <w:p w14:paraId="114AB2FB" w14:textId="0209459A" w:rsidR="00C91C2D" w:rsidRPr="00F645CE" w:rsidRDefault="00C91C2D" w:rsidP="00C91C2D">
      <w:pPr>
        <w:pStyle w:val="Tekstprzypisudolnego"/>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Jak wskazał NSA w tym wyroku: „zróżnicowanie podmiotów uprawnionych do dostępu do rejestru PESEL nie może powodować zaniechania przez administratora danych podejmowania działań zmierzających do zlikwidowania (lub co najmniej ograniczenia) zidentyfikowanego ryzyka dla danych przetwarzanych w ramach rejestru PESEL”.</w:t>
      </w:r>
    </w:p>
  </w:footnote>
  <w:footnote w:id="17">
    <w:p w14:paraId="7266350D" w14:textId="77777777" w:rsidR="0055000A" w:rsidRPr="00F645CE" w:rsidRDefault="0055000A" w:rsidP="007E74DD">
      <w:pPr>
        <w:pStyle w:val="Tekstprzypisudolnego"/>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Jak wskazał NSA w tym wyroku: „zróżnicowanie podmiotów uprawnionych do dostępu do rejestru PESEL nie może powodować zaniechania przez administratora danych podejmowania działań zmierzających do zlikwidowania (lub co najmniej ograniczenia) zidentyfikowanego ryzyka dla danych przetwarzanych w ramach rejestru PESEL”.</w:t>
      </w:r>
    </w:p>
  </w:footnote>
  <w:footnote w:id="18">
    <w:p w14:paraId="1B9F8791" w14:textId="7CBA671C" w:rsidR="004C2062" w:rsidRPr="00F645CE" w:rsidRDefault="004C2062" w:rsidP="00FC5259">
      <w:pPr>
        <w:pStyle w:val="Tekstprzypisudolnego"/>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w:t>
      </w:r>
      <w:r w:rsidR="00FC5259" w:rsidRPr="00F645CE">
        <w:rPr>
          <w:rFonts w:asciiTheme="minorHAnsi" w:hAnsiTheme="minorHAnsi"/>
        </w:rPr>
        <w:t>W zakresie powszechnej dostępności danych w Centralnej Ewidencji i Informacja o Działalności</w:t>
      </w:r>
      <w:r w:rsidR="002279EB" w:rsidRPr="00F645CE">
        <w:rPr>
          <w:rFonts w:asciiTheme="minorHAnsi" w:hAnsiTheme="minorHAnsi"/>
        </w:rPr>
        <w:t xml:space="preserve"> </w:t>
      </w:r>
      <w:r w:rsidR="00FC5259" w:rsidRPr="00F645CE">
        <w:rPr>
          <w:rFonts w:asciiTheme="minorHAnsi" w:hAnsiTheme="minorHAnsi"/>
        </w:rPr>
        <w:t>Gospodarczej Prezes UODO wystosował wystąpienie z 5 sierpnia 2025 r. znak: DPNT.413.32.2025 do</w:t>
      </w:r>
      <w:r w:rsidR="002279EB" w:rsidRPr="00F645CE">
        <w:rPr>
          <w:rFonts w:asciiTheme="minorHAnsi" w:hAnsiTheme="minorHAnsi"/>
        </w:rPr>
        <w:t xml:space="preserve"> </w:t>
      </w:r>
      <w:r w:rsidR="00FC5259" w:rsidRPr="00F645CE">
        <w:rPr>
          <w:rFonts w:asciiTheme="minorHAnsi" w:hAnsiTheme="minorHAnsi"/>
        </w:rPr>
        <w:t>Ministra Finansów i Gospodarki.</w:t>
      </w:r>
      <w:r w:rsidR="002279EB" w:rsidRPr="00F645CE">
        <w:rPr>
          <w:rFonts w:asciiTheme="minorHAnsi" w:hAnsiTheme="minorHAnsi"/>
        </w:rPr>
        <w:t xml:space="preserve"> </w:t>
      </w:r>
    </w:p>
  </w:footnote>
  <w:footnote w:id="19">
    <w:p w14:paraId="0AAF1672" w14:textId="77777777" w:rsidR="000306EA" w:rsidRPr="00F645CE" w:rsidRDefault="000306EA" w:rsidP="000306EA">
      <w:pPr>
        <w:pStyle w:val="Tekstprzypisudolnego"/>
        <w:rPr>
          <w:rFonts w:asciiTheme="minorHAnsi" w:hAnsiTheme="minorHAnsi"/>
        </w:rPr>
      </w:pPr>
      <w:r w:rsidRPr="00F645CE">
        <w:rPr>
          <w:rStyle w:val="Odwoanieprzypisudolnego"/>
          <w:rFonts w:asciiTheme="minorHAnsi" w:hAnsiTheme="minorHAnsi"/>
        </w:rPr>
        <w:footnoteRef/>
      </w:r>
      <w:r w:rsidRPr="00F645CE">
        <w:rPr>
          <w:rFonts w:asciiTheme="minorHAnsi" w:hAnsiTheme="minorHAnsi"/>
        </w:rPr>
        <w:t xml:space="preserve"> Jak wskazał NSA w tym wyroku: „zróżnicowanie podmiotów uprawnionych do dostępu do rejestru PESEL nie może powodować zaniechania przez administratora danych podejmowania działań zmierzających do zlikwidowania (lub co najmniej ograniczenia) zidentyfikowanego ryzyka dla danych przetwarzanych w ramach rejestru PESEL”.</w:t>
      </w:r>
    </w:p>
  </w:footnote>
  <w:footnote w:id="20">
    <w:p w14:paraId="0DA42B0A" w14:textId="77777777" w:rsidR="00D25978" w:rsidRPr="00F645CE" w:rsidRDefault="00D25978" w:rsidP="00D25978">
      <w:pPr>
        <w:spacing w:line="241" w:lineRule="auto"/>
        <w:rPr>
          <w:rFonts w:cs="Arial"/>
          <w:sz w:val="20"/>
          <w:szCs w:val="20"/>
        </w:rPr>
      </w:pPr>
      <w:r w:rsidRPr="00F645CE">
        <w:rPr>
          <w:rFonts w:cs="Arial"/>
          <w:sz w:val="20"/>
          <w:szCs w:val="20"/>
          <w:vertAlign w:val="superscript"/>
        </w:rPr>
        <w:footnoteRef/>
      </w:r>
      <w:r w:rsidRPr="00F645CE">
        <w:rPr>
          <w:rFonts w:cs="Arial"/>
          <w:sz w:val="20"/>
          <w:szCs w:val="20"/>
        </w:rPr>
        <w:t xml:space="preserve"> Organy publiczne, którym ujawnia </w:t>
      </w:r>
      <w:r w:rsidRPr="00F645CE">
        <w:rPr>
          <w:rFonts w:eastAsia="Arial" w:cs="Arial"/>
          <w:sz w:val="20"/>
          <w:szCs w:val="20"/>
        </w:rPr>
        <w:t>się</w:t>
      </w:r>
      <w:r w:rsidRPr="00F645CE">
        <w:rPr>
          <w:rFonts w:cs="Arial"/>
          <w:sz w:val="20"/>
          <w:szCs w:val="20"/>
        </w:rPr>
        <w:t xml:space="preserve"> dane osobowe w </w:t>
      </w:r>
      <w:r w:rsidRPr="00F645CE">
        <w:rPr>
          <w:rFonts w:eastAsia="Arial" w:cs="Arial"/>
          <w:sz w:val="20"/>
          <w:szCs w:val="20"/>
        </w:rPr>
        <w:t>związku</w:t>
      </w:r>
      <w:r w:rsidRPr="00F645CE">
        <w:rPr>
          <w:rFonts w:cs="Arial"/>
          <w:sz w:val="20"/>
          <w:szCs w:val="20"/>
        </w:rPr>
        <w:t xml:space="preserve"> z ich prawnym </w:t>
      </w:r>
      <w:r w:rsidRPr="00F645CE">
        <w:rPr>
          <w:rFonts w:eastAsia="Arial" w:cs="Arial"/>
          <w:sz w:val="20"/>
          <w:szCs w:val="20"/>
        </w:rPr>
        <w:t>obowiązkiem</w:t>
      </w:r>
      <w:r w:rsidRPr="00F645CE">
        <w:rPr>
          <w:rFonts w:cs="Arial"/>
          <w:sz w:val="20"/>
          <w:szCs w:val="20"/>
        </w:rPr>
        <w:t xml:space="preserve"> sprawowania funkcji publicznej (takich jak organy podatkowe, organy celne, finansowe jednostki analityki finansowej, </w:t>
      </w:r>
      <w:r w:rsidRPr="00F645CE">
        <w:rPr>
          <w:rFonts w:eastAsia="Arial" w:cs="Arial"/>
          <w:sz w:val="20"/>
          <w:szCs w:val="20"/>
        </w:rPr>
        <w:t>niezależne</w:t>
      </w:r>
      <w:r w:rsidRPr="00F645CE">
        <w:rPr>
          <w:rFonts w:cs="Arial"/>
          <w:sz w:val="20"/>
          <w:szCs w:val="20"/>
        </w:rPr>
        <w:t xml:space="preserve"> organy administracyjne czy organy rynków finansowych </w:t>
      </w:r>
      <w:r w:rsidRPr="00F645CE">
        <w:rPr>
          <w:rFonts w:eastAsia="Arial" w:cs="Arial"/>
          <w:sz w:val="20"/>
          <w:szCs w:val="20"/>
        </w:rPr>
        <w:t>regulujące</w:t>
      </w:r>
      <w:r w:rsidRPr="00F645CE">
        <w:rPr>
          <w:rFonts w:cs="Arial"/>
          <w:sz w:val="20"/>
          <w:szCs w:val="20"/>
        </w:rPr>
        <w:t xml:space="preserve"> i </w:t>
      </w:r>
      <w:r w:rsidRPr="00F645CE">
        <w:rPr>
          <w:rFonts w:eastAsia="Arial" w:cs="Arial"/>
          <w:sz w:val="20"/>
          <w:szCs w:val="20"/>
        </w:rPr>
        <w:t>nadzorujące</w:t>
      </w:r>
      <w:r w:rsidRPr="00F645CE">
        <w:rPr>
          <w:rFonts w:cs="Arial"/>
          <w:sz w:val="20"/>
          <w:szCs w:val="20"/>
        </w:rPr>
        <w:t xml:space="preserve"> rynki papierów </w:t>
      </w:r>
      <w:r w:rsidRPr="00F645CE">
        <w:rPr>
          <w:rFonts w:eastAsia="Arial" w:cs="Arial"/>
          <w:sz w:val="20"/>
          <w:szCs w:val="20"/>
        </w:rPr>
        <w:t>wartościowych),</w:t>
      </w:r>
      <w:r w:rsidRPr="00F645CE">
        <w:rPr>
          <w:rFonts w:cs="Arial"/>
          <w:sz w:val="20"/>
          <w:szCs w:val="20"/>
        </w:rPr>
        <w:t xml:space="preserve"> nie powinny </w:t>
      </w:r>
      <w:r w:rsidRPr="00F645CE">
        <w:rPr>
          <w:rFonts w:eastAsia="Arial" w:cs="Arial"/>
          <w:sz w:val="20"/>
          <w:szCs w:val="20"/>
        </w:rPr>
        <w:t>być</w:t>
      </w:r>
      <w:r w:rsidRPr="00F645CE">
        <w:rPr>
          <w:rFonts w:cs="Arial"/>
          <w:sz w:val="20"/>
          <w:szCs w:val="20"/>
        </w:rPr>
        <w:t xml:space="preserve"> traktowane jako odbiorcy, </w:t>
      </w:r>
      <w:r w:rsidRPr="00F645CE">
        <w:rPr>
          <w:rFonts w:eastAsia="Arial" w:cs="Arial"/>
          <w:sz w:val="20"/>
          <w:szCs w:val="20"/>
        </w:rPr>
        <w:t>jeżeli</w:t>
      </w:r>
      <w:r w:rsidRPr="00F645CE">
        <w:rPr>
          <w:rFonts w:cs="Arial"/>
          <w:sz w:val="20"/>
          <w:szCs w:val="20"/>
        </w:rPr>
        <w:t xml:space="preserve"> otrzymane przez nie dane osobowe </w:t>
      </w:r>
      <w:r w:rsidRPr="00F645CE">
        <w:rPr>
          <w:rFonts w:eastAsia="Arial" w:cs="Arial"/>
          <w:sz w:val="20"/>
          <w:szCs w:val="20"/>
        </w:rPr>
        <w:t>są</w:t>
      </w:r>
      <w:r w:rsidRPr="00F645CE">
        <w:rPr>
          <w:rFonts w:cs="Arial"/>
          <w:sz w:val="20"/>
          <w:szCs w:val="20"/>
        </w:rPr>
        <w:t xml:space="preserve"> im </w:t>
      </w:r>
      <w:r w:rsidRPr="00F645CE">
        <w:rPr>
          <w:rFonts w:eastAsia="Arial" w:cs="Arial"/>
          <w:sz w:val="20"/>
          <w:szCs w:val="20"/>
        </w:rPr>
        <w:t>niezbędne</w:t>
      </w:r>
      <w:r w:rsidRPr="00F645CE">
        <w:rPr>
          <w:rFonts w:cs="Arial"/>
          <w:sz w:val="20"/>
          <w:szCs w:val="20"/>
        </w:rPr>
        <w:t xml:space="preserve"> do przeprowadzenia </w:t>
      </w:r>
      <w:r w:rsidRPr="00F645CE">
        <w:rPr>
          <w:rFonts w:eastAsia="Arial" w:cs="Arial"/>
          <w:sz w:val="20"/>
          <w:szCs w:val="20"/>
        </w:rPr>
        <w:t>określonego</w:t>
      </w:r>
      <w:r w:rsidRPr="00F645CE">
        <w:rPr>
          <w:rFonts w:cs="Arial"/>
          <w:sz w:val="20"/>
          <w:szCs w:val="20"/>
        </w:rPr>
        <w:t xml:space="preserve"> </w:t>
      </w:r>
      <w:r w:rsidRPr="00F645CE">
        <w:rPr>
          <w:rFonts w:eastAsia="Arial" w:cs="Arial"/>
          <w:sz w:val="20"/>
          <w:szCs w:val="20"/>
        </w:rPr>
        <w:t>postępowania</w:t>
      </w:r>
      <w:r w:rsidRPr="00F645CE">
        <w:rPr>
          <w:rFonts w:cs="Arial"/>
          <w:sz w:val="20"/>
          <w:szCs w:val="20"/>
        </w:rPr>
        <w:t xml:space="preserve"> w interesie ogólnym zgodnie z prawem Unii lub prawem </w:t>
      </w:r>
      <w:r w:rsidRPr="00F645CE">
        <w:rPr>
          <w:rFonts w:eastAsia="Arial" w:cs="Arial"/>
          <w:sz w:val="20"/>
          <w:szCs w:val="20"/>
        </w:rPr>
        <w:t>państwa</w:t>
      </w:r>
      <w:r w:rsidRPr="00F645CE">
        <w:rPr>
          <w:rFonts w:cs="Arial"/>
          <w:sz w:val="20"/>
          <w:szCs w:val="20"/>
        </w:rPr>
        <w:t xml:space="preserve"> </w:t>
      </w:r>
      <w:r w:rsidRPr="00F645CE">
        <w:rPr>
          <w:rFonts w:eastAsia="Arial" w:cs="Arial"/>
          <w:sz w:val="20"/>
          <w:szCs w:val="20"/>
        </w:rPr>
        <w:t>członkowskiego.</w:t>
      </w:r>
      <w:r w:rsidRPr="00F645CE">
        <w:rPr>
          <w:rFonts w:cs="Arial"/>
          <w:sz w:val="20"/>
          <w:szCs w:val="20"/>
        </w:rPr>
        <w:t xml:space="preserve"> </w:t>
      </w:r>
      <w:r w:rsidRPr="00F645CE">
        <w:rPr>
          <w:rFonts w:eastAsia="Arial" w:cs="Arial"/>
          <w:sz w:val="20"/>
          <w:szCs w:val="20"/>
        </w:rPr>
        <w:t>Żądanie</w:t>
      </w:r>
      <w:r w:rsidRPr="00F645CE">
        <w:rPr>
          <w:rFonts w:cs="Arial"/>
          <w:sz w:val="20"/>
          <w:szCs w:val="20"/>
        </w:rPr>
        <w:t xml:space="preserve"> ujawnienia danych osobowych, z którym </w:t>
      </w:r>
      <w:r w:rsidRPr="00F645CE">
        <w:rPr>
          <w:rFonts w:eastAsia="Arial" w:cs="Arial"/>
          <w:sz w:val="20"/>
          <w:szCs w:val="20"/>
        </w:rPr>
        <w:t>występują</w:t>
      </w:r>
      <w:r w:rsidRPr="00F645CE">
        <w:rPr>
          <w:rFonts w:cs="Arial"/>
          <w:sz w:val="20"/>
          <w:szCs w:val="20"/>
        </w:rPr>
        <w:t xml:space="preserve"> takie organy publiczne, powinno zawsze </w:t>
      </w:r>
      <w:r w:rsidRPr="00F645CE">
        <w:rPr>
          <w:rFonts w:eastAsia="Arial" w:cs="Arial"/>
          <w:sz w:val="20"/>
          <w:szCs w:val="20"/>
        </w:rPr>
        <w:t>mieć</w:t>
      </w:r>
      <w:r w:rsidRPr="00F645CE">
        <w:rPr>
          <w:rFonts w:cs="Arial"/>
          <w:sz w:val="20"/>
          <w:szCs w:val="20"/>
        </w:rPr>
        <w:t xml:space="preserve"> </w:t>
      </w:r>
      <w:r w:rsidRPr="00F645CE">
        <w:rPr>
          <w:rFonts w:eastAsia="Arial" w:cs="Arial"/>
          <w:sz w:val="20"/>
          <w:szCs w:val="20"/>
        </w:rPr>
        <w:t>formę</w:t>
      </w:r>
      <w:r w:rsidRPr="00F645CE">
        <w:rPr>
          <w:rFonts w:cs="Arial"/>
          <w:sz w:val="20"/>
          <w:szCs w:val="20"/>
        </w:rPr>
        <w:t xml:space="preserve"> </w:t>
      </w:r>
      <w:r w:rsidRPr="00F645CE">
        <w:rPr>
          <w:rFonts w:eastAsia="Arial" w:cs="Arial"/>
          <w:sz w:val="20"/>
          <w:szCs w:val="20"/>
        </w:rPr>
        <w:t>pisemną,</w:t>
      </w:r>
      <w:r w:rsidRPr="00F645CE">
        <w:rPr>
          <w:rFonts w:cs="Arial"/>
          <w:sz w:val="20"/>
          <w:szCs w:val="20"/>
        </w:rPr>
        <w:t xml:space="preserve"> </w:t>
      </w:r>
      <w:r w:rsidRPr="00F645CE">
        <w:rPr>
          <w:rFonts w:eastAsia="Arial" w:cs="Arial"/>
          <w:sz w:val="20"/>
          <w:szCs w:val="20"/>
        </w:rPr>
        <w:t>być</w:t>
      </w:r>
      <w:r w:rsidRPr="00F645CE">
        <w:rPr>
          <w:rFonts w:cs="Arial"/>
          <w:sz w:val="20"/>
          <w:szCs w:val="20"/>
        </w:rPr>
        <w:t xml:space="preserve"> uzasadnione, </w:t>
      </w:r>
      <w:r w:rsidRPr="00F645CE">
        <w:rPr>
          <w:rFonts w:eastAsia="Arial" w:cs="Arial"/>
          <w:sz w:val="20"/>
          <w:szCs w:val="20"/>
        </w:rPr>
        <w:t>mieć</w:t>
      </w:r>
      <w:r w:rsidRPr="00F645CE">
        <w:rPr>
          <w:rFonts w:cs="Arial"/>
          <w:sz w:val="20"/>
          <w:szCs w:val="20"/>
        </w:rPr>
        <w:t xml:space="preserve"> charakter </w:t>
      </w:r>
      <w:r w:rsidRPr="00F645CE">
        <w:rPr>
          <w:rFonts w:eastAsia="Arial" w:cs="Arial"/>
          <w:sz w:val="20"/>
          <w:szCs w:val="20"/>
        </w:rPr>
        <w:t>wyjątkowy,</w:t>
      </w:r>
      <w:r w:rsidRPr="00F645CE">
        <w:rPr>
          <w:rFonts w:cs="Arial"/>
          <w:sz w:val="20"/>
          <w:szCs w:val="20"/>
        </w:rPr>
        <w:t xml:space="preserve"> nie powinno </w:t>
      </w:r>
      <w:r w:rsidRPr="00F645CE">
        <w:rPr>
          <w:rFonts w:eastAsia="Arial" w:cs="Arial"/>
          <w:sz w:val="20"/>
          <w:szCs w:val="20"/>
        </w:rPr>
        <w:t>dotyczyć</w:t>
      </w:r>
      <w:r w:rsidRPr="00F645CE">
        <w:rPr>
          <w:rFonts w:cs="Arial"/>
          <w:sz w:val="20"/>
          <w:szCs w:val="20"/>
        </w:rPr>
        <w:t xml:space="preserve"> </w:t>
      </w:r>
      <w:r w:rsidRPr="00F645CE">
        <w:rPr>
          <w:rFonts w:eastAsia="Arial" w:cs="Arial"/>
          <w:sz w:val="20"/>
          <w:szCs w:val="20"/>
        </w:rPr>
        <w:t>całego</w:t>
      </w:r>
      <w:r w:rsidRPr="00F645CE">
        <w:rPr>
          <w:rFonts w:cs="Arial"/>
          <w:sz w:val="20"/>
          <w:szCs w:val="20"/>
        </w:rPr>
        <w:t xml:space="preserve"> zbioru danych ani </w:t>
      </w:r>
      <w:r w:rsidRPr="00F645CE">
        <w:rPr>
          <w:rFonts w:eastAsia="Arial" w:cs="Arial"/>
          <w:sz w:val="20"/>
          <w:szCs w:val="20"/>
        </w:rPr>
        <w:t>prowadzić</w:t>
      </w:r>
      <w:r w:rsidRPr="00F645CE">
        <w:rPr>
          <w:rFonts w:cs="Arial"/>
          <w:sz w:val="20"/>
          <w:szCs w:val="20"/>
        </w:rPr>
        <w:t xml:space="preserve"> do </w:t>
      </w:r>
      <w:r w:rsidRPr="00F645CE">
        <w:rPr>
          <w:rFonts w:eastAsia="Arial" w:cs="Arial"/>
          <w:sz w:val="20"/>
          <w:szCs w:val="20"/>
        </w:rPr>
        <w:t>połączenia</w:t>
      </w:r>
      <w:r w:rsidRPr="00F645CE">
        <w:rPr>
          <w:rFonts w:cs="Arial"/>
          <w:sz w:val="20"/>
          <w:szCs w:val="20"/>
        </w:rPr>
        <w:t xml:space="preserve"> zbiorów danych. </w:t>
      </w:r>
      <w:r w:rsidRPr="00F645CE">
        <w:rPr>
          <w:rFonts w:eastAsia="Arial" w:cs="Arial"/>
          <w:sz w:val="20"/>
          <w:szCs w:val="20"/>
        </w:rPr>
        <w:t>Przetwarzając</w:t>
      </w:r>
      <w:r w:rsidRPr="00F645CE">
        <w:rPr>
          <w:rFonts w:cs="Arial"/>
          <w:sz w:val="20"/>
          <w:szCs w:val="20"/>
        </w:rPr>
        <w:t xml:space="preserve"> otrzymane dane osobowe, takie organy powinny </w:t>
      </w:r>
      <w:r w:rsidRPr="00F645CE">
        <w:rPr>
          <w:rFonts w:eastAsia="Arial" w:cs="Arial"/>
          <w:sz w:val="20"/>
          <w:szCs w:val="20"/>
        </w:rPr>
        <w:t>przestrzegać</w:t>
      </w:r>
      <w:r w:rsidRPr="00F645CE">
        <w:rPr>
          <w:rFonts w:cs="Arial"/>
          <w:sz w:val="20"/>
          <w:szCs w:val="20"/>
        </w:rPr>
        <w:t xml:space="preserve"> </w:t>
      </w:r>
      <w:r w:rsidRPr="00F645CE">
        <w:rPr>
          <w:rFonts w:eastAsia="Arial" w:cs="Arial"/>
          <w:sz w:val="20"/>
          <w:szCs w:val="20"/>
        </w:rPr>
        <w:t>mających</w:t>
      </w:r>
      <w:r w:rsidRPr="00F645CE">
        <w:rPr>
          <w:rFonts w:cs="Arial"/>
          <w:sz w:val="20"/>
          <w:szCs w:val="20"/>
        </w:rPr>
        <w:t xml:space="preserve"> zastosowanie przepisów o ochronie danych, zgodnie z celami przetwarzania.</w:t>
      </w:r>
    </w:p>
  </w:footnote>
  <w:footnote w:id="21">
    <w:p w14:paraId="629EA435" w14:textId="77777777" w:rsidR="00F973B6" w:rsidRPr="00F645CE" w:rsidRDefault="00F973B6" w:rsidP="00F973B6">
      <w:pPr>
        <w:spacing w:line="257" w:lineRule="auto"/>
        <w:rPr>
          <w:rFonts w:cs="Arial"/>
          <w:sz w:val="20"/>
          <w:szCs w:val="20"/>
        </w:rPr>
      </w:pPr>
      <w:r w:rsidRPr="00F645CE">
        <w:rPr>
          <w:rFonts w:cs="Arial"/>
          <w:sz w:val="20"/>
          <w:szCs w:val="20"/>
          <w:vertAlign w:val="superscript"/>
        </w:rPr>
        <w:footnoteRef/>
      </w:r>
      <w:r w:rsidRPr="00F645CE">
        <w:rPr>
          <w:rFonts w:cs="Arial"/>
          <w:sz w:val="20"/>
          <w:szCs w:val="20"/>
        </w:rPr>
        <w:t xml:space="preserve"> Na </w:t>
      </w:r>
      <w:r w:rsidRPr="00F645CE">
        <w:rPr>
          <w:rFonts w:eastAsia="Arial" w:cs="Arial"/>
          <w:sz w:val="20"/>
          <w:szCs w:val="20"/>
        </w:rPr>
        <w:t>przykład</w:t>
      </w:r>
      <w:r w:rsidRPr="00F645CE">
        <w:rPr>
          <w:rFonts w:cs="Arial"/>
          <w:sz w:val="20"/>
          <w:szCs w:val="20"/>
        </w:rPr>
        <w:t xml:space="preserve"> opinia Prezesa UODO z 7 lipca 2025 r. znak: DPNT.401.224.2025.WL.MKS do projektu ustawy o zmianie ustawy o systemie informacji w ochronie zdrowia oraz niektórych innych ustaw (UD 238).</w:t>
      </w:r>
    </w:p>
  </w:footnote>
  <w:footnote w:id="22">
    <w:p w14:paraId="7B0E6635" w14:textId="03F1BA31" w:rsidR="00F973B6" w:rsidRPr="00F645CE" w:rsidRDefault="00F973B6" w:rsidP="00F973B6">
      <w:pPr>
        <w:spacing w:line="242" w:lineRule="auto"/>
        <w:ind w:right="39"/>
        <w:rPr>
          <w:sz w:val="20"/>
          <w:szCs w:val="20"/>
        </w:rPr>
      </w:pPr>
      <w:r w:rsidRPr="00F645CE">
        <w:rPr>
          <w:rFonts w:cs="Arial"/>
          <w:sz w:val="20"/>
          <w:szCs w:val="20"/>
          <w:vertAlign w:val="superscript"/>
        </w:rPr>
        <w:footnoteRef/>
      </w:r>
      <w:r w:rsidRPr="00F645CE">
        <w:rPr>
          <w:rFonts w:cs="Arial"/>
          <w:sz w:val="20"/>
          <w:szCs w:val="20"/>
        </w:rPr>
        <w:t xml:space="preserve"> Zgodnie z art. 4 pkt 7 </w:t>
      </w:r>
      <w:r w:rsidRPr="00F645CE">
        <w:rPr>
          <w:rFonts w:eastAsia="Arial" w:cs="Arial"/>
          <w:sz w:val="20"/>
          <w:szCs w:val="20"/>
        </w:rPr>
        <w:t>rozporządzenia</w:t>
      </w:r>
      <w:r w:rsidRPr="00F645CE">
        <w:rPr>
          <w:rFonts w:cs="Arial"/>
          <w:sz w:val="20"/>
          <w:szCs w:val="20"/>
        </w:rPr>
        <w:t xml:space="preserve"> 2016/679 „administrator” oznacza </w:t>
      </w:r>
      <w:r w:rsidRPr="00F645CE">
        <w:rPr>
          <w:rFonts w:eastAsia="Arial" w:cs="Arial"/>
          <w:sz w:val="20"/>
          <w:szCs w:val="20"/>
        </w:rPr>
        <w:t>osobę</w:t>
      </w:r>
      <w:r w:rsidRPr="00F645CE">
        <w:rPr>
          <w:rFonts w:cs="Arial"/>
          <w:sz w:val="20"/>
          <w:szCs w:val="20"/>
        </w:rPr>
        <w:t xml:space="preserve"> </w:t>
      </w:r>
      <w:r w:rsidRPr="00F645CE">
        <w:rPr>
          <w:rFonts w:eastAsia="Arial" w:cs="Arial"/>
          <w:sz w:val="20"/>
          <w:szCs w:val="20"/>
        </w:rPr>
        <w:t>fizyczną</w:t>
      </w:r>
      <w:r w:rsidRPr="00F645CE">
        <w:rPr>
          <w:rFonts w:cs="Arial"/>
          <w:sz w:val="20"/>
          <w:szCs w:val="20"/>
        </w:rPr>
        <w:t xml:space="preserve"> lub </w:t>
      </w:r>
      <w:r w:rsidRPr="00F645CE">
        <w:rPr>
          <w:rFonts w:eastAsia="Arial" w:cs="Arial"/>
          <w:sz w:val="20"/>
          <w:szCs w:val="20"/>
        </w:rPr>
        <w:t>prawną,</w:t>
      </w:r>
      <w:r w:rsidRPr="00F645CE">
        <w:rPr>
          <w:rFonts w:cs="Arial"/>
          <w:sz w:val="20"/>
          <w:szCs w:val="20"/>
        </w:rPr>
        <w:t xml:space="preserve"> organ publiczny, </w:t>
      </w:r>
      <w:r w:rsidRPr="00F645CE">
        <w:rPr>
          <w:rFonts w:eastAsia="Arial" w:cs="Arial"/>
          <w:sz w:val="20"/>
          <w:szCs w:val="20"/>
        </w:rPr>
        <w:t>jednostkę</w:t>
      </w:r>
      <w:r w:rsidRPr="00F645CE">
        <w:rPr>
          <w:rFonts w:cs="Arial"/>
          <w:sz w:val="20"/>
          <w:szCs w:val="20"/>
        </w:rPr>
        <w:t xml:space="preserve"> lub inny podmiot, który samodzielnie lub wspólnie z innymi ustala cele i sposoby przetwarzania danych osobowych; </w:t>
      </w:r>
      <w:r w:rsidRPr="00F645CE">
        <w:rPr>
          <w:rFonts w:eastAsia="Arial" w:cs="Arial"/>
          <w:sz w:val="20"/>
          <w:szCs w:val="20"/>
        </w:rPr>
        <w:t>jeżeli</w:t>
      </w:r>
      <w:r w:rsidRPr="00F645CE">
        <w:rPr>
          <w:rFonts w:cs="Arial"/>
          <w:sz w:val="20"/>
          <w:szCs w:val="20"/>
        </w:rPr>
        <w:t xml:space="preserve"> cele i sposoby takiego przetwarzania </w:t>
      </w:r>
      <w:r w:rsidRPr="00F645CE">
        <w:rPr>
          <w:rFonts w:eastAsia="Arial" w:cs="Arial"/>
          <w:sz w:val="20"/>
          <w:szCs w:val="20"/>
        </w:rPr>
        <w:t>są</w:t>
      </w:r>
      <w:r w:rsidRPr="00F645CE">
        <w:rPr>
          <w:rFonts w:cs="Arial"/>
          <w:sz w:val="20"/>
          <w:szCs w:val="20"/>
        </w:rPr>
        <w:t xml:space="preserve"> </w:t>
      </w:r>
      <w:r w:rsidRPr="00F645CE">
        <w:rPr>
          <w:rFonts w:eastAsia="Arial" w:cs="Arial"/>
          <w:sz w:val="20"/>
          <w:szCs w:val="20"/>
        </w:rPr>
        <w:t>określone</w:t>
      </w:r>
      <w:r w:rsidRPr="00F645CE">
        <w:rPr>
          <w:rFonts w:cs="Arial"/>
          <w:sz w:val="20"/>
          <w:szCs w:val="20"/>
        </w:rPr>
        <w:t xml:space="preserve"> w prawie Unii lub w prawie </w:t>
      </w:r>
      <w:r w:rsidRPr="00F645CE">
        <w:rPr>
          <w:rFonts w:eastAsia="Arial" w:cs="Arial"/>
          <w:sz w:val="20"/>
          <w:szCs w:val="20"/>
        </w:rPr>
        <w:t>państwa</w:t>
      </w:r>
      <w:r w:rsidRPr="00F645CE">
        <w:rPr>
          <w:rFonts w:eastAsia="Times New Roman" w:cs="Arial"/>
          <w:sz w:val="20"/>
          <w:szCs w:val="20"/>
        </w:rPr>
        <w:t xml:space="preserve"> </w:t>
      </w:r>
      <w:r w:rsidRPr="00F645CE">
        <w:rPr>
          <w:rFonts w:eastAsia="Arial" w:cs="Arial"/>
          <w:sz w:val="20"/>
          <w:szCs w:val="20"/>
        </w:rPr>
        <w:t>członkowskiego,</w:t>
      </w:r>
      <w:r w:rsidRPr="00F645CE">
        <w:rPr>
          <w:rFonts w:cs="Arial"/>
          <w:sz w:val="20"/>
          <w:szCs w:val="20"/>
        </w:rPr>
        <w:t xml:space="preserve"> to </w:t>
      </w:r>
      <w:r w:rsidRPr="00F645CE">
        <w:rPr>
          <w:rFonts w:eastAsia="Arial" w:cs="Arial"/>
          <w:sz w:val="20"/>
          <w:szCs w:val="20"/>
        </w:rPr>
        <w:t>również</w:t>
      </w:r>
      <w:r w:rsidRPr="00F645CE">
        <w:rPr>
          <w:rFonts w:cs="Arial"/>
          <w:sz w:val="20"/>
          <w:szCs w:val="20"/>
        </w:rPr>
        <w:t xml:space="preserve"> w prawie Unii lub w prawie </w:t>
      </w:r>
      <w:r w:rsidRPr="00F645CE">
        <w:rPr>
          <w:rFonts w:eastAsia="Arial" w:cs="Arial"/>
          <w:sz w:val="20"/>
          <w:szCs w:val="20"/>
        </w:rPr>
        <w:t>państwa</w:t>
      </w:r>
      <w:r w:rsidRPr="00F645CE">
        <w:rPr>
          <w:rFonts w:cs="Arial"/>
          <w:sz w:val="20"/>
          <w:szCs w:val="20"/>
        </w:rPr>
        <w:t xml:space="preserve"> </w:t>
      </w:r>
      <w:r w:rsidRPr="00F645CE">
        <w:rPr>
          <w:rFonts w:eastAsia="Arial" w:cs="Arial"/>
          <w:sz w:val="20"/>
          <w:szCs w:val="20"/>
        </w:rPr>
        <w:t>członkowskiego</w:t>
      </w:r>
      <w:r w:rsidRPr="00F645CE">
        <w:rPr>
          <w:rFonts w:cs="Arial"/>
          <w:sz w:val="20"/>
          <w:szCs w:val="20"/>
        </w:rPr>
        <w:t xml:space="preserve"> </w:t>
      </w:r>
      <w:r w:rsidRPr="00F645CE">
        <w:rPr>
          <w:rFonts w:eastAsia="Arial" w:cs="Arial"/>
          <w:sz w:val="20"/>
          <w:szCs w:val="20"/>
        </w:rPr>
        <w:t>może</w:t>
      </w:r>
      <w:r w:rsidRPr="00F645CE">
        <w:rPr>
          <w:rFonts w:cs="Arial"/>
          <w:sz w:val="20"/>
          <w:szCs w:val="20"/>
        </w:rPr>
        <w:t xml:space="preserve"> </w:t>
      </w:r>
      <w:r w:rsidRPr="00F645CE">
        <w:rPr>
          <w:rFonts w:eastAsia="Arial" w:cs="Arial"/>
          <w:sz w:val="20"/>
          <w:szCs w:val="20"/>
        </w:rPr>
        <w:t>zostać</w:t>
      </w:r>
      <w:r w:rsidRPr="00F645CE">
        <w:rPr>
          <w:rFonts w:cs="Arial"/>
          <w:sz w:val="20"/>
          <w:szCs w:val="20"/>
        </w:rPr>
        <w:t xml:space="preserve"> wyznaczony administrator lub </w:t>
      </w:r>
      <w:r w:rsidRPr="00F645CE">
        <w:rPr>
          <w:rFonts w:eastAsia="Arial" w:cs="Arial"/>
          <w:sz w:val="20"/>
          <w:szCs w:val="20"/>
        </w:rPr>
        <w:t>mogą</w:t>
      </w:r>
      <w:r w:rsidRPr="00F645CE">
        <w:rPr>
          <w:rFonts w:cs="Arial"/>
          <w:sz w:val="20"/>
          <w:szCs w:val="20"/>
        </w:rPr>
        <w:t xml:space="preserve"> </w:t>
      </w:r>
      <w:r w:rsidRPr="00F645CE">
        <w:rPr>
          <w:rFonts w:eastAsia="Arial" w:cs="Arial"/>
          <w:sz w:val="20"/>
          <w:szCs w:val="20"/>
        </w:rPr>
        <w:t>zostać</w:t>
      </w:r>
      <w:r w:rsidRPr="00F645CE">
        <w:rPr>
          <w:rFonts w:cs="Arial"/>
          <w:sz w:val="20"/>
          <w:szCs w:val="20"/>
        </w:rPr>
        <w:t xml:space="preserve"> </w:t>
      </w:r>
      <w:r w:rsidRPr="00F645CE">
        <w:rPr>
          <w:rFonts w:eastAsia="Arial" w:cs="Arial"/>
          <w:sz w:val="20"/>
          <w:szCs w:val="20"/>
        </w:rPr>
        <w:t>określone</w:t>
      </w:r>
      <w:r w:rsidRPr="00F645CE">
        <w:rPr>
          <w:rFonts w:cs="Arial"/>
          <w:sz w:val="20"/>
          <w:szCs w:val="20"/>
        </w:rPr>
        <w:t xml:space="preserve"> konkretne kryteria jego wyznaczania;</w:t>
      </w:r>
    </w:p>
  </w:footnote>
  <w:footnote w:id="23">
    <w:p w14:paraId="0F5AB081" w14:textId="4A7A7A76" w:rsidR="00EA438A" w:rsidRPr="00F645CE" w:rsidRDefault="00EA438A">
      <w:pPr>
        <w:pStyle w:val="Tekstprzypisudolnego"/>
        <w:rPr>
          <w:rFonts w:asciiTheme="minorHAnsi" w:hAnsiTheme="minorHAnsi" w:cs="Arial"/>
        </w:rPr>
      </w:pPr>
      <w:r w:rsidRPr="00F645CE">
        <w:rPr>
          <w:rStyle w:val="Odwoanieprzypisudolnego"/>
          <w:rFonts w:asciiTheme="minorHAnsi" w:hAnsiTheme="minorHAnsi" w:cs="Arial"/>
        </w:rPr>
        <w:footnoteRef/>
      </w:r>
      <w:r w:rsidRPr="00F645CE">
        <w:rPr>
          <w:rFonts w:asciiTheme="minorHAnsi" w:hAnsiTheme="minorHAnsi" w:cs="Arial"/>
        </w:rPr>
        <w:t xml:space="preserve"> </w:t>
      </w:r>
      <w:r w:rsidRPr="00F645CE">
        <w:rPr>
          <w:rFonts w:asciiTheme="minorHAnsi" w:eastAsia="Arial" w:hAnsiTheme="minorHAnsi" w:cs="Arial"/>
        </w:rPr>
        <w:t>Jeżeli</w:t>
      </w:r>
      <w:r w:rsidRPr="00F645CE">
        <w:rPr>
          <w:rFonts w:asciiTheme="minorHAnsi" w:hAnsiTheme="minorHAnsi" w:cs="Arial"/>
        </w:rPr>
        <w:t xml:space="preserve"> przetwarzanie ma </w:t>
      </w:r>
      <w:r w:rsidRPr="00F645CE">
        <w:rPr>
          <w:rFonts w:asciiTheme="minorHAnsi" w:eastAsia="Arial" w:hAnsiTheme="minorHAnsi" w:cs="Arial"/>
        </w:rPr>
        <w:t>być</w:t>
      </w:r>
      <w:r w:rsidRPr="00F645CE">
        <w:rPr>
          <w:rFonts w:asciiTheme="minorHAnsi" w:hAnsiTheme="minorHAnsi" w:cs="Arial"/>
        </w:rPr>
        <w:t xml:space="preserve"> dokonywane w imieniu administratora, korzysta on </w:t>
      </w:r>
      <w:r w:rsidRPr="00F645CE">
        <w:rPr>
          <w:rFonts w:asciiTheme="minorHAnsi" w:eastAsia="Arial" w:hAnsiTheme="minorHAnsi" w:cs="Arial"/>
        </w:rPr>
        <w:t>wyłącznie</w:t>
      </w:r>
      <w:r w:rsidRPr="00F645CE">
        <w:rPr>
          <w:rFonts w:asciiTheme="minorHAnsi" w:hAnsiTheme="minorHAnsi" w:cs="Arial"/>
        </w:rPr>
        <w:t xml:space="preserve"> z </w:t>
      </w:r>
      <w:r w:rsidRPr="00F645CE">
        <w:rPr>
          <w:rFonts w:asciiTheme="minorHAnsi" w:eastAsia="Arial" w:hAnsiTheme="minorHAnsi" w:cs="Arial"/>
        </w:rPr>
        <w:t>usług</w:t>
      </w:r>
      <w:r w:rsidRPr="00F645CE">
        <w:rPr>
          <w:rFonts w:asciiTheme="minorHAnsi" w:hAnsiTheme="minorHAnsi" w:cs="Arial"/>
        </w:rPr>
        <w:t xml:space="preserve"> takich podmiotów </w:t>
      </w:r>
      <w:r w:rsidRPr="00F645CE">
        <w:rPr>
          <w:rFonts w:asciiTheme="minorHAnsi" w:eastAsia="Arial" w:hAnsiTheme="minorHAnsi" w:cs="Arial"/>
        </w:rPr>
        <w:t>przetwarzających,</w:t>
      </w:r>
      <w:r w:rsidRPr="00F645CE">
        <w:rPr>
          <w:rFonts w:asciiTheme="minorHAnsi" w:hAnsiTheme="minorHAnsi" w:cs="Arial"/>
        </w:rPr>
        <w:t xml:space="preserve"> które </w:t>
      </w:r>
      <w:r w:rsidRPr="00F645CE">
        <w:rPr>
          <w:rFonts w:asciiTheme="minorHAnsi" w:eastAsia="Arial" w:hAnsiTheme="minorHAnsi" w:cs="Arial"/>
        </w:rPr>
        <w:t>zapewniają</w:t>
      </w:r>
      <w:r w:rsidRPr="00F645CE">
        <w:rPr>
          <w:rFonts w:asciiTheme="minorHAnsi" w:hAnsiTheme="minorHAnsi" w:cs="Arial"/>
        </w:rPr>
        <w:t xml:space="preserve"> </w:t>
      </w:r>
      <w:r w:rsidRPr="00F645CE">
        <w:rPr>
          <w:rFonts w:asciiTheme="minorHAnsi" w:eastAsia="Arial" w:hAnsiTheme="minorHAnsi" w:cs="Arial"/>
        </w:rPr>
        <w:t>wystarczające</w:t>
      </w:r>
      <w:r w:rsidRPr="00F645CE">
        <w:rPr>
          <w:rFonts w:asciiTheme="minorHAnsi" w:hAnsiTheme="minorHAnsi" w:cs="Arial"/>
        </w:rPr>
        <w:t xml:space="preserve"> gwarancje </w:t>
      </w:r>
      <w:r w:rsidRPr="00F645CE">
        <w:rPr>
          <w:rFonts w:asciiTheme="minorHAnsi" w:eastAsia="Arial" w:hAnsiTheme="minorHAnsi" w:cs="Arial"/>
        </w:rPr>
        <w:t>wdrożenia</w:t>
      </w:r>
      <w:r w:rsidRPr="00F645CE">
        <w:rPr>
          <w:rFonts w:asciiTheme="minorHAnsi" w:hAnsiTheme="minorHAnsi" w:cs="Arial"/>
        </w:rPr>
        <w:t xml:space="preserve"> odpowiednich </w:t>
      </w:r>
      <w:r w:rsidRPr="00F645CE">
        <w:rPr>
          <w:rFonts w:asciiTheme="minorHAnsi" w:eastAsia="Arial" w:hAnsiTheme="minorHAnsi" w:cs="Arial"/>
        </w:rPr>
        <w:t>środków</w:t>
      </w:r>
      <w:r w:rsidRPr="00F645CE">
        <w:rPr>
          <w:rFonts w:asciiTheme="minorHAnsi" w:hAnsiTheme="minorHAnsi" w:cs="Arial"/>
        </w:rPr>
        <w:t xml:space="preserve"> technicznych i organizacyjnych, by przetwarzanie </w:t>
      </w:r>
      <w:r w:rsidRPr="00F645CE">
        <w:rPr>
          <w:rFonts w:asciiTheme="minorHAnsi" w:eastAsia="Arial" w:hAnsiTheme="minorHAnsi" w:cs="Arial"/>
        </w:rPr>
        <w:t>spełniało</w:t>
      </w:r>
      <w:r w:rsidRPr="00F645CE">
        <w:rPr>
          <w:rFonts w:asciiTheme="minorHAnsi" w:hAnsiTheme="minorHAnsi" w:cs="Arial"/>
        </w:rPr>
        <w:t xml:space="preserve"> wymogi niniejszego </w:t>
      </w:r>
      <w:r w:rsidRPr="00F645CE">
        <w:rPr>
          <w:rFonts w:asciiTheme="minorHAnsi" w:eastAsia="Arial" w:hAnsiTheme="minorHAnsi" w:cs="Arial"/>
        </w:rPr>
        <w:t>rozporządzenia</w:t>
      </w:r>
      <w:r w:rsidRPr="00F645CE">
        <w:rPr>
          <w:rFonts w:asciiTheme="minorHAnsi" w:hAnsiTheme="minorHAnsi" w:cs="Arial"/>
        </w:rPr>
        <w:t xml:space="preserve"> i </w:t>
      </w:r>
      <w:r w:rsidRPr="00F645CE">
        <w:rPr>
          <w:rFonts w:asciiTheme="minorHAnsi" w:eastAsia="Arial" w:hAnsiTheme="minorHAnsi" w:cs="Arial"/>
        </w:rPr>
        <w:t>chroniło</w:t>
      </w:r>
      <w:r w:rsidRPr="00F645CE">
        <w:rPr>
          <w:rFonts w:asciiTheme="minorHAnsi" w:hAnsiTheme="minorHAnsi" w:cs="Arial"/>
        </w:rPr>
        <w:t xml:space="preserve"> prawa osób, których dane </w:t>
      </w:r>
      <w:r w:rsidRPr="00F645CE">
        <w:rPr>
          <w:rFonts w:asciiTheme="minorHAnsi" w:eastAsia="Arial" w:hAnsiTheme="minorHAnsi" w:cs="Arial"/>
        </w:rPr>
        <w:t>dotyczą.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EDD55" w14:textId="77777777" w:rsidR="00911446" w:rsidRDefault="009114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69AF2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A95A3C"/>
    <w:multiLevelType w:val="hybridMultilevel"/>
    <w:tmpl w:val="D0A4D31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482B7F"/>
    <w:multiLevelType w:val="hybridMultilevel"/>
    <w:tmpl w:val="A012689A"/>
    <w:lvl w:ilvl="0" w:tplc="59103342">
      <w:start w:val="1"/>
      <w:numFmt w:val="decimal"/>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D69E01DE">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16F89AB4">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5AD865F0">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13169D2C">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43A2FF00">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58DEC964">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A97A30D8">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37B46B9E">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AECC68"/>
    <w:multiLevelType w:val="hybridMultilevel"/>
    <w:tmpl w:val="4C00F1E4"/>
    <w:lvl w:ilvl="0" w:tplc="4ED82C60">
      <w:start w:val="1"/>
      <w:numFmt w:val="bullet"/>
      <w:lvlText w:val="-"/>
      <w:lvlJc w:val="left"/>
      <w:pPr>
        <w:ind w:left="720" w:hanging="360"/>
      </w:pPr>
      <w:rPr>
        <w:rFonts w:ascii="Symbol" w:hAnsi="Symbol" w:hint="default"/>
      </w:rPr>
    </w:lvl>
    <w:lvl w:ilvl="1" w:tplc="AAEEF3E8">
      <w:start w:val="1"/>
      <w:numFmt w:val="bullet"/>
      <w:lvlText w:val="o"/>
      <w:lvlJc w:val="left"/>
      <w:pPr>
        <w:ind w:left="1440" w:hanging="360"/>
      </w:pPr>
      <w:rPr>
        <w:rFonts w:ascii="Courier New" w:hAnsi="Courier New" w:hint="default"/>
      </w:rPr>
    </w:lvl>
    <w:lvl w:ilvl="2" w:tplc="A9CC7624">
      <w:start w:val="1"/>
      <w:numFmt w:val="bullet"/>
      <w:lvlText w:val=""/>
      <w:lvlJc w:val="left"/>
      <w:pPr>
        <w:ind w:left="2160" w:hanging="360"/>
      </w:pPr>
      <w:rPr>
        <w:rFonts w:ascii="Wingdings" w:hAnsi="Wingdings" w:hint="default"/>
      </w:rPr>
    </w:lvl>
    <w:lvl w:ilvl="3" w:tplc="E618CF9E">
      <w:start w:val="1"/>
      <w:numFmt w:val="bullet"/>
      <w:lvlText w:val=""/>
      <w:lvlJc w:val="left"/>
      <w:pPr>
        <w:ind w:left="2880" w:hanging="360"/>
      </w:pPr>
      <w:rPr>
        <w:rFonts w:ascii="Symbol" w:hAnsi="Symbol" w:hint="default"/>
      </w:rPr>
    </w:lvl>
    <w:lvl w:ilvl="4" w:tplc="67689826">
      <w:start w:val="1"/>
      <w:numFmt w:val="bullet"/>
      <w:lvlText w:val="o"/>
      <w:lvlJc w:val="left"/>
      <w:pPr>
        <w:ind w:left="3600" w:hanging="360"/>
      </w:pPr>
      <w:rPr>
        <w:rFonts w:ascii="Courier New" w:hAnsi="Courier New" w:hint="default"/>
      </w:rPr>
    </w:lvl>
    <w:lvl w:ilvl="5" w:tplc="5AC495B6">
      <w:start w:val="1"/>
      <w:numFmt w:val="bullet"/>
      <w:lvlText w:val=""/>
      <w:lvlJc w:val="left"/>
      <w:pPr>
        <w:ind w:left="4320" w:hanging="360"/>
      </w:pPr>
      <w:rPr>
        <w:rFonts w:ascii="Wingdings" w:hAnsi="Wingdings" w:hint="default"/>
      </w:rPr>
    </w:lvl>
    <w:lvl w:ilvl="6" w:tplc="D2F0E5C8">
      <w:start w:val="1"/>
      <w:numFmt w:val="bullet"/>
      <w:lvlText w:val=""/>
      <w:lvlJc w:val="left"/>
      <w:pPr>
        <w:ind w:left="5040" w:hanging="360"/>
      </w:pPr>
      <w:rPr>
        <w:rFonts w:ascii="Symbol" w:hAnsi="Symbol" w:hint="default"/>
      </w:rPr>
    </w:lvl>
    <w:lvl w:ilvl="7" w:tplc="CDB8A2CA">
      <w:start w:val="1"/>
      <w:numFmt w:val="bullet"/>
      <w:lvlText w:val="o"/>
      <w:lvlJc w:val="left"/>
      <w:pPr>
        <w:ind w:left="5760" w:hanging="360"/>
      </w:pPr>
      <w:rPr>
        <w:rFonts w:ascii="Courier New" w:hAnsi="Courier New" w:hint="default"/>
      </w:rPr>
    </w:lvl>
    <w:lvl w:ilvl="8" w:tplc="A61278C6">
      <w:start w:val="1"/>
      <w:numFmt w:val="bullet"/>
      <w:lvlText w:val=""/>
      <w:lvlJc w:val="left"/>
      <w:pPr>
        <w:ind w:left="6480" w:hanging="360"/>
      </w:pPr>
      <w:rPr>
        <w:rFonts w:ascii="Wingdings" w:hAnsi="Wingdings" w:hint="default"/>
      </w:rPr>
    </w:lvl>
  </w:abstractNum>
  <w:abstractNum w:abstractNumId="4" w15:restartNumberingAfterBreak="0">
    <w:nsid w:val="0AAC2C1D"/>
    <w:multiLevelType w:val="hybridMultilevel"/>
    <w:tmpl w:val="215AF1BE"/>
    <w:lvl w:ilvl="0" w:tplc="C04CD75E">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A47642">
      <w:start w:val="1"/>
      <w:numFmt w:val="bullet"/>
      <w:lvlText w:val="o"/>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104712">
      <w:start w:val="1"/>
      <w:numFmt w:val="bullet"/>
      <w:lvlText w:val="▪"/>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08221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88B4D8">
      <w:start w:val="1"/>
      <w:numFmt w:val="bullet"/>
      <w:lvlText w:val="o"/>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148D9BA">
      <w:start w:val="1"/>
      <w:numFmt w:val="bullet"/>
      <w:lvlText w:val="▪"/>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A54BAF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D2074C">
      <w:start w:val="1"/>
      <w:numFmt w:val="bullet"/>
      <w:lvlText w:val="o"/>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5E85C0">
      <w:start w:val="1"/>
      <w:numFmt w:val="bullet"/>
      <w:lvlText w:val="▪"/>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E5177EB"/>
    <w:multiLevelType w:val="hybridMultilevel"/>
    <w:tmpl w:val="8B224102"/>
    <w:lvl w:ilvl="0" w:tplc="5BE4C1A0">
      <w:start w:val="5"/>
      <w:numFmt w:val="decimal"/>
      <w:lvlText w:val="%1."/>
      <w:lvlJc w:val="left"/>
      <w:pPr>
        <w:ind w:left="1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95F433FA">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7F4AC898">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F738DE1C">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98B6E710">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ED1E43D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413E328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04DA9EE6">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3CC3674">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433A3B"/>
    <w:multiLevelType w:val="hybridMultilevel"/>
    <w:tmpl w:val="DCA07D64"/>
    <w:lvl w:ilvl="0" w:tplc="04A45DB2">
      <w:start w:val="1"/>
      <w:numFmt w:val="decimal"/>
      <w:lvlText w:val="%1)"/>
      <w:lvlJc w:val="left"/>
      <w:pPr>
        <w:ind w:left="778"/>
      </w:pPr>
      <w:rPr>
        <w:rFonts w:asciiTheme="minorHAnsi" w:eastAsia="Times New Roman" w:hAnsiTheme="minorHAnsi" w:cs="Times New Roman" w:hint="default"/>
        <w:b w:val="0"/>
        <w:i/>
        <w:iCs/>
        <w:strike w:val="0"/>
        <w:dstrike w:val="0"/>
        <w:color w:val="000000"/>
        <w:sz w:val="20"/>
        <w:szCs w:val="20"/>
        <w:u w:val="none" w:color="000000"/>
        <w:bdr w:val="none" w:sz="0" w:space="0" w:color="auto"/>
        <w:shd w:val="clear" w:color="auto" w:fill="auto"/>
        <w:vertAlign w:val="baseline"/>
      </w:rPr>
    </w:lvl>
    <w:lvl w:ilvl="1" w:tplc="A20E7A14">
      <w:start w:val="1"/>
      <w:numFmt w:val="lowerLetter"/>
      <w:lvlText w:val="%2"/>
      <w:lvlJc w:val="left"/>
      <w:pPr>
        <w:ind w:left="14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B0ECBB42">
      <w:start w:val="1"/>
      <w:numFmt w:val="lowerRoman"/>
      <w:lvlText w:val="%3"/>
      <w:lvlJc w:val="left"/>
      <w:pPr>
        <w:ind w:left="22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762A94EA">
      <w:start w:val="1"/>
      <w:numFmt w:val="decimal"/>
      <w:lvlText w:val="%4"/>
      <w:lvlJc w:val="left"/>
      <w:pPr>
        <w:ind w:left="29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19C8EFA">
      <w:start w:val="1"/>
      <w:numFmt w:val="lowerLetter"/>
      <w:lvlText w:val="%5"/>
      <w:lvlJc w:val="left"/>
      <w:pPr>
        <w:ind w:left="36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9A981EFC">
      <w:start w:val="1"/>
      <w:numFmt w:val="lowerRoman"/>
      <w:lvlText w:val="%6"/>
      <w:lvlJc w:val="left"/>
      <w:pPr>
        <w:ind w:left="43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F65CE7F2">
      <w:start w:val="1"/>
      <w:numFmt w:val="decimal"/>
      <w:lvlText w:val="%7"/>
      <w:lvlJc w:val="left"/>
      <w:pPr>
        <w:ind w:left="50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40408E8">
      <w:start w:val="1"/>
      <w:numFmt w:val="lowerLetter"/>
      <w:lvlText w:val="%8"/>
      <w:lvlJc w:val="left"/>
      <w:pPr>
        <w:ind w:left="5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00253E4">
      <w:start w:val="1"/>
      <w:numFmt w:val="lowerRoman"/>
      <w:lvlText w:val="%9"/>
      <w:lvlJc w:val="left"/>
      <w:pPr>
        <w:ind w:left="6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5E60E2"/>
    <w:multiLevelType w:val="hybridMultilevel"/>
    <w:tmpl w:val="ACB2BFF8"/>
    <w:lvl w:ilvl="0" w:tplc="2578B188">
      <w:start w:val="1"/>
      <w:numFmt w:val="decimal"/>
      <w:lvlText w:val="%1"/>
      <w:lvlJc w:val="left"/>
      <w:pPr>
        <w:ind w:left="720" w:hanging="360"/>
      </w:pPr>
      <w:rPr>
        <w:rFonts w:asciiTheme="minorHAnsi" w:eastAsia="Times New Roman" w:hAnsiTheme="minorHAnsi"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931D92"/>
    <w:multiLevelType w:val="hybridMultilevel"/>
    <w:tmpl w:val="2D1CECE2"/>
    <w:lvl w:ilvl="0" w:tplc="5322B1CC">
      <w:start w:val="1"/>
      <w:numFmt w:val="lowerLetter"/>
      <w:lvlText w:val="%1)"/>
      <w:lvlJc w:val="left"/>
      <w:pPr>
        <w:ind w:left="10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5C6B686">
      <w:start w:val="1"/>
      <w:numFmt w:val="lowerLetter"/>
      <w:lvlText w:val="%2"/>
      <w:lvlJc w:val="left"/>
      <w:pPr>
        <w:ind w:left="19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6CE66BE">
      <w:start w:val="1"/>
      <w:numFmt w:val="lowerRoman"/>
      <w:lvlText w:val="%3"/>
      <w:lvlJc w:val="left"/>
      <w:pPr>
        <w:ind w:left="26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E24914A">
      <w:start w:val="1"/>
      <w:numFmt w:val="decimal"/>
      <w:lvlText w:val="%4"/>
      <w:lvlJc w:val="left"/>
      <w:pPr>
        <w:ind w:left="33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6E890BA">
      <w:start w:val="1"/>
      <w:numFmt w:val="lowerLetter"/>
      <w:lvlText w:val="%5"/>
      <w:lvlJc w:val="left"/>
      <w:pPr>
        <w:ind w:left="4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68C286C">
      <w:start w:val="1"/>
      <w:numFmt w:val="lowerRoman"/>
      <w:lvlText w:val="%6"/>
      <w:lvlJc w:val="left"/>
      <w:pPr>
        <w:ind w:left="4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B00FF66">
      <w:start w:val="1"/>
      <w:numFmt w:val="decimal"/>
      <w:lvlText w:val="%7"/>
      <w:lvlJc w:val="left"/>
      <w:pPr>
        <w:ind w:left="5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266725E">
      <w:start w:val="1"/>
      <w:numFmt w:val="lowerLetter"/>
      <w:lvlText w:val="%8"/>
      <w:lvlJc w:val="left"/>
      <w:pPr>
        <w:ind w:left="6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F98C0EE">
      <w:start w:val="1"/>
      <w:numFmt w:val="lowerRoman"/>
      <w:lvlText w:val="%9"/>
      <w:lvlJc w:val="left"/>
      <w:pPr>
        <w:ind w:left="6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105D18"/>
    <w:multiLevelType w:val="hybridMultilevel"/>
    <w:tmpl w:val="74A675A6"/>
    <w:lvl w:ilvl="0" w:tplc="E7A4118A">
      <w:start w:val="1"/>
      <w:numFmt w:val="decimal"/>
      <w:lvlText w:val="%1)"/>
      <w:lvlJc w:val="left"/>
      <w:pPr>
        <w:ind w:left="859"/>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286869D6">
      <w:start w:val="1"/>
      <w:numFmt w:val="lowerLetter"/>
      <w:lvlText w:val="%2"/>
      <w:lvlJc w:val="left"/>
      <w:pPr>
        <w:ind w:left="164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D1DC87D8">
      <w:start w:val="1"/>
      <w:numFmt w:val="lowerRoman"/>
      <w:lvlText w:val="%3"/>
      <w:lvlJc w:val="left"/>
      <w:pPr>
        <w:ind w:left="236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02F27644">
      <w:start w:val="1"/>
      <w:numFmt w:val="decimal"/>
      <w:lvlText w:val="%4"/>
      <w:lvlJc w:val="left"/>
      <w:pPr>
        <w:ind w:left="308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6840E212">
      <w:start w:val="1"/>
      <w:numFmt w:val="lowerLetter"/>
      <w:lvlText w:val="%5"/>
      <w:lvlJc w:val="left"/>
      <w:pPr>
        <w:ind w:left="380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8FDEDA0E">
      <w:start w:val="1"/>
      <w:numFmt w:val="lowerRoman"/>
      <w:lvlText w:val="%6"/>
      <w:lvlJc w:val="left"/>
      <w:pPr>
        <w:ind w:left="452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DFDC7E82">
      <w:start w:val="1"/>
      <w:numFmt w:val="decimal"/>
      <w:lvlText w:val="%7"/>
      <w:lvlJc w:val="left"/>
      <w:pPr>
        <w:ind w:left="524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BB26305A">
      <w:start w:val="1"/>
      <w:numFmt w:val="lowerLetter"/>
      <w:lvlText w:val="%8"/>
      <w:lvlJc w:val="left"/>
      <w:pPr>
        <w:ind w:left="596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34DA0B34">
      <w:start w:val="1"/>
      <w:numFmt w:val="lowerRoman"/>
      <w:lvlText w:val="%9"/>
      <w:lvlJc w:val="left"/>
      <w:pPr>
        <w:ind w:left="668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EFF4845"/>
    <w:multiLevelType w:val="hybridMultilevel"/>
    <w:tmpl w:val="BEE6FD1A"/>
    <w:lvl w:ilvl="0" w:tplc="ED18697C">
      <w:start w:val="1"/>
      <w:numFmt w:val="decimal"/>
      <w:lvlText w:val="%1."/>
      <w:lvlJc w:val="left"/>
      <w:pPr>
        <w:ind w:left="454"/>
      </w:pPr>
      <w:rPr>
        <w:rFonts w:asciiTheme="minorHAnsi" w:eastAsia="Times New Roman" w:hAnsiTheme="minorHAnsi" w:cs="Times New Roman" w:hint="default"/>
        <w:b w:val="0"/>
        <w:i/>
        <w:iCs/>
        <w:strike w:val="0"/>
        <w:dstrike w:val="0"/>
        <w:color w:val="000000"/>
        <w:sz w:val="20"/>
        <w:szCs w:val="20"/>
        <w:u w:val="none" w:color="000000"/>
        <w:bdr w:val="none" w:sz="0" w:space="0" w:color="auto"/>
        <w:shd w:val="clear" w:color="auto" w:fill="auto"/>
        <w:vertAlign w:val="baseline"/>
      </w:rPr>
    </w:lvl>
    <w:lvl w:ilvl="1" w:tplc="72C6AFDA">
      <w:start w:val="1"/>
      <w:numFmt w:val="decimal"/>
      <w:lvlText w:val="%2)"/>
      <w:lvlJc w:val="left"/>
      <w:pPr>
        <w:ind w:left="703"/>
      </w:pPr>
      <w:rPr>
        <w:rFonts w:asciiTheme="minorHAnsi" w:eastAsia="Times New Roman" w:hAnsiTheme="minorHAnsi" w:cs="Times New Roman" w:hint="default"/>
        <w:b w:val="0"/>
        <w:i/>
        <w:iCs/>
        <w:strike w:val="0"/>
        <w:dstrike w:val="0"/>
        <w:color w:val="000000"/>
        <w:sz w:val="20"/>
        <w:szCs w:val="20"/>
        <w:u w:val="none" w:color="000000"/>
        <w:bdr w:val="none" w:sz="0" w:space="0" w:color="auto"/>
        <w:shd w:val="clear" w:color="auto" w:fill="auto"/>
        <w:vertAlign w:val="baseline"/>
      </w:rPr>
    </w:lvl>
    <w:lvl w:ilvl="2" w:tplc="DA048B76">
      <w:start w:val="1"/>
      <w:numFmt w:val="lowerRoman"/>
      <w:lvlText w:val="%3"/>
      <w:lvlJc w:val="left"/>
      <w:pPr>
        <w:ind w:left="15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714D440">
      <w:start w:val="1"/>
      <w:numFmt w:val="decimal"/>
      <w:lvlText w:val="%4"/>
      <w:lvlJc w:val="left"/>
      <w:pPr>
        <w:ind w:left="22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7762620">
      <w:start w:val="1"/>
      <w:numFmt w:val="lowerLetter"/>
      <w:lvlText w:val="%5"/>
      <w:lvlJc w:val="left"/>
      <w:pPr>
        <w:ind w:left="29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4E24DC4">
      <w:start w:val="1"/>
      <w:numFmt w:val="lowerRoman"/>
      <w:lvlText w:val="%6"/>
      <w:lvlJc w:val="left"/>
      <w:pPr>
        <w:ind w:left="36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E15E63C8">
      <w:start w:val="1"/>
      <w:numFmt w:val="decimal"/>
      <w:lvlText w:val="%7"/>
      <w:lvlJc w:val="left"/>
      <w:pPr>
        <w:ind w:left="43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9086184">
      <w:start w:val="1"/>
      <w:numFmt w:val="lowerLetter"/>
      <w:lvlText w:val="%8"/>
      <w:lvlJc w:val="left"/>
      <w:pPr>
        <w:ind w:left="51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998AA932">
      <w:start w:val="1"/>
      <w:numFmt w:val="lowerRoman"/>
      <w:lvlText w:val="%9"/>
      <w:lvlJc w:val="left"/>
      <w:pPr>
        <w:ind w:left="58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1FD0ECC"/>
    <w:multiLevelType w:val="hybridMultilevel"/>
    <w:tmpl w:val="C5584E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D2865"/>
    <w:multiLevelType w:val="hybridMultilevel"/>
    <w:tmpl w:val="987A21BE"/>
    <w:lvl w:ilvl="0" w:tplc="D7A2DBF4">
      <w:start w:val="1"/>
      <w:numFmt w:val="bullet"/>
      <w:lvlText w:val="-"/>
      <w:lvlJc w:val="left"/>
      <w:pPr>
        <w:ind w:left="720" w:hanging="360"/>
      </w:pPr>
      <w:rPr>
        <w:rFonts w:ascii="Symbol" w:hAnsi="Symbol" w:hint="default"/>
      </w:rPr>
    </w:lvl>
    <w:lvl w:ilvl="1" w:tplc="9A08A8C4">
      <w:start w:val="1"/>
      <w:numFmt w:val="bullet"/>
      <w:lvlText w:val="o"/>
      <w:lvlJc w:val="left"/>
      <w:pPr>
        <w:ind w:left="1440" w:hanging="360"/>
      </w:pPr>
      <w:rPr>
        <w:rFonts w:ascii="Courier New" w:hAnsi="Courier New" w:hint="default"/>
      </w:rPr>
    </w:lvl>
    <w:lvl w:ilvl="2" w:tplc="0BB0ABEC">
      <w:start w:val="1"/>
      <w:numFmt w:val="bullet"/>
      <w:lvlText w:val=""/>
      <w:lvlJc w:val="left"/>
      <w:pPr>
        <w:ind w:left="2160" w:hanging="360"/>
      </w:pPr>
      <w:rPr>
        <w:rFonts w:ascii="Wingdings" w:hAnsi="Wingdings" w:hint="default"/>
      </w:rPr>
    </w:lvl>
    <w:lvl w:ilvl="3" w:tplc="09EC22C0">
      <w:start w:val="1"/>
      <w:numFmt w:val="bullet"/>
      <w:lvlText w:val=""/>
      <w:lvlJc w:val="left"/>
      <w:pPr>
        <w:ind w:left="2880" w:hanging="360"/>
      </w:pPr>
      <w:rPr>
        <w:rFonts w:ascii="Symbol" w:hAnsi="Symbol" w:hint="default"/>
      </w:rPr>
    </w:lvl>
    <w:lvl w:ilvl="4" w:tplc="881E83D2">
      <w:start w:val="1"/>
      <w:numFmt w:val="bullet"/>
      <w:lvlText w:val="o"/>
      <w:lvlJc w:val="left"/>
      <w:pPr>
        <w:ind w:left="3600" w:hanging="360"/>
      </w:pPr>
      <w:rPr>
        <w:rFonts w:ascii="Courier New" w:hAnsi="Courier New" w:hint="default"/>
      </w:rPr>
    </w:lvl>
    <w:lvl w:ilvl="5" w:tplc="AE8E3402">
      <w:start w:val="1"/>
      <w:numFmt w:val="bullet"/>
      <w:lvlText w:val=""/>
      <w:lvlJc w:val="left"/>
      <w:pPr>
        <w:ind w:left="4320" w:hanging="360"/>
      </w:pPr>
      <w:rPr>
        <w:rFonts w:ascii="Wingdings" w:hAnsi="Wingdings" w:hint="default"/>
      </w:rPr>
    </w:lvl>
    <w:lvl w:ilvl="6" w:tplc="B1DE371E">
      <w:start w:val="1"/>
      <w:numFmt w:val="bullet"/>
      <w:lvlText w:val=""/>
      <w:lvlJc w:val="left"/>
      <w:pPr>
        <w:ind w:left="5040" w:hanging="360"/>
      </w:pPr>
      <w:rPr>
        <w:rFonts w:ascii="Symbol" w:hAnsi="Symbol" w:hint="default"/>
      </w:rPr>
    </w:lvl>
    <w:lvl w:ilvl="7" w:tplc="DA00D006">
      <w:start w:val="1"/>
      <w:numFmt w:val="bullet"/>
      <w:lvlText w:val="o"/>
      <w:lvlJc w:val="left"/>
      <w:pPr>
        <w:ind w:left="5760" w:hanging="360"/>
      </w:pPr>
      <w:rPr>
        <w:rFonts w:ascii="Courier New" w:hAnsi="Courier New" w:hint="default"/>
      </w:rPr>
    </w:lvl>
    <w:lvl w:ilvl="8" w:tplc="2EA27EFC">
      <w:start w:val="1"/>
      <w:numFmt w:val="bullet"/>
      <w:lvlText w:val=""/>
      <w:lvlJc w:val="left"/>
      <w:pPr>
        <w:ind w:left="6480" w:hanging="360"/>
      </w:pPr>
      <w:rPr>
        <w:rFonts w:ascii="Wingdings" w:hAnsi="Wingdings" w:hint="default"/>
      </w:rPr>
    </w:lvl>
  </w:abstractNum>
  <w:abstractNum w:abstractNumId="13" w15:restartNumberingAfterBreak="0">
    <w:nsid w:val="270D6306"/>
    <w:multiLevelType w:val="hybridMultilevel"/>
    <w:tmpl w:val="5C74695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BA2CB3"/>
    <w:multiLevelType w:val="hybridMultilevel"/>
    <w:tmpl w:val="2F9244F8"/>
    <w:lvl w:ilvl="0" w:tplc="61EAC136">
      <w:start w:val="1"/>
      <w:numFmt w:val="decimal"/>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EA3474F6">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7FCC0DC">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42FE5F58">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21ECD31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06EE13A2">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C52C7F6">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A86A6434">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B874DEA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27015F"/>
    <w:multiLevelType w:val="hybridMultilevel"/>
    <w:tmpl w:val="A0961DA8"/>
    <w:lvl w:ilvl="0" w:tplc="0415000F">
      <w:start w:val="1"/>
      <w:numFmt w:val="decimal"/>
      <w:lvlText w:val="%1."/>
      <w:lvlJc w:val="left"/>
      <w:pPr>
        <w:ind w:left="785" w:hanging="360"/>
      </w:p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6" w15:restartNumberingAfterBreak="0">
    <w:nsid w:val="29DD662E"/>
    <w:multiLevelType w:val="hybridMultilevel"/>
    <w:tmpl w:val="FFFFFFFF"/>
    <w:lvl w:ilvl="0" w:tplc="F1B2DF6E">
      <w:start w:val="1"/>
      <w:numFmt w:val="decimal"/>
      <w:lvlText w:val="5)"/>
      <w:lvlJc w:val="left"/>
      <w:pPr>
        <w:ind w:left="720" w:hanging="360"/>
      </w:pPr>
    </w:lvl>
    <w:lvl w:ilvl="1" w:tplc="13D4E844">
      <w:start w:val="1"/>
      <w:numFmt w:val="lowerLetter"/>
      <w:lvlText w:val="%2."/>
      <w:lvlJc w:val="left"/>
      <w:pPr>
        <w:ind w:left="1440" w:hanging="360"/>
      </w:pPr>
    </w:lvl>
    <w:lvl w:ilvl="2" w:tplc="40AEE720">
      <w:start w:val="1"/>
      <w:numFmt w:val="lowerRoman"/>
      <w:lvlText w:val="%3."/>
      <w:lvlJc w:val="right"/>
      <w:pPr>
        <w:ind w:left="2160" w:hanging="180"/>
      </w:pPr>
    </w:lvl>
    <w:lvl w:ilvl="3" w:tplc="66ECF728">
      <w:start w:val="1"/>
      <w:numFmt w:val="decimal"/>
      <w:lvlText w:val="%4."/>
      <w:lvlJc w:val="left"/>
      <w:pPr>
        <w:ind w:left="2880" w:hanging="360"/>
      </w:pPr>
    </w:lvl>
    <w:lvl w:ilvl="4" w:tplc="3E5E0B8A">
      <w:start w:val="1"/>
      <w:numFmt w:val="lowerLetter"/>
      <w:lvlText w:val="%5."/>
      <w:lvlJc w:val="left"/>
      <w:pPr>
        <w:ind w:left="3600" w:hanging="360"/>
      </w:pPr>
    </w:lvl>
    <w:lvl w:ilvl="5" w:tplc="25E4EFD2">
      <w:start w:val="1"/>
      <w:numFmt w:val="lowerRoman"/>
      <w:lvlText w:val="%6."/>
      <w:lvlJc w:val="right"/>
      <w:pPr>
        <w:ind w:left="4320" w:hanging="180"/>
      </w:pPr>
    </w:lvl>
    <w:lvl w:ilvl="6" w:tplc="EABE1786">
      <w:start w:val="1"/>
      <w:numFmt w:val="decimal"/>
      <w:lvlText w:val="%7."/>
      <w:lvlJc w:val="left"/>
      <w:pPr>
        <w:ind w:left="5040" w:hanging="360"/>
      </w:pPr>
    </w:lvl>
    <w:lvl w:ilvl="7" w:tplc="D6AE7222">
      <w:start w:val="1"/>
      <w:numFmt w:val="lowerLetter"/>
      <w:lvlText w:val="%8."/>
      <w:lvlJc w:val="left"/>
      <w:pPr>
        <w:ind w:left="5760" w:hanging="360"/>
      </w:pPr>
    </w:lvl>
    <w:lvl w:ilvl="8" w:tplc="14E86E4E">
      <w:start w:val="1"/>
      <w:numFmt w:val="lowerRoman"/>
      <w:lvlText w:val="%9."/>
      <w:lvlJc w:val="right"/>
      <w:pPr>
        <w:ind w:left="6480" w:hanging="180"/>
      </w:pPr>
    </w:lvl>
  </w:abstractNum>
  <w:abstractNum w:abstractNumId="17" w15:restartNumberingAfterBreak="0">
    <w:nsid w:val="30060C9C"/>
    <w:multiLevelType w:val="hybridMultilevel"/>
    <w:tmpl w:val="CEF06EEE"/>
    <w:lvl w:ilvl="0" w:tplc="3C8AC7A8">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E3868CA">
      <w:start w:val="1"/>
      <w:numFmt w:val="lowerLetter"/>
      <w:lvlText w:val="%2)"/>
      <w:lvlJc w:val="left"/>
      <w:pPr>
        <w:ind w:left="9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9486D90">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C94F5A6">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494679E">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989970">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9CAD54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BC1036">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618960E">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B49531"/>
    <w:multiLevelType w:val="hybridMultilevel"/>
    <w:tmpl w:val="FB2098B6"/>
    <w:lvl w:ilvl="0" w:tplc="2C8A12C6">
      <w:start w:val="1"/>
      <w:numFmt w:val="decimal"/>
      <w:lvlText w:val="%1."/>
      <w:lvlJc w:val="left"/>
      <w:pPr>
        <w:ind w:left="720" w:hanging="360"/>
      </w:pPr>
    </w:lvl>
    <w:lvl w:ilvl="1" w:tplc="9F96B5E6">
      <w:start w:val="1"/>
      <w:numFmt w:val="lowerLetter"/>
      <w:lvlText w:val="%2."/>
      <w:lvlJc w:val="left"/>
      <w:pPr>
        <w:ind w:left="1440" w:hanging="360"/>
      </w:pPr>
    </w:lvl>
    <w:lvl w:ilvl="2" w:tplc="D0B43354">
      <w:start w:val="1"/>
      <w:numFmt w:val="lowerRoman"/>
      <w:lvlText w:val="%3."/>
      <w:lvlJc w:val="right"/>
      <w:pPr>
        <w:ind w:left="2160" w:hanging="180"/>
      </w:pPr>
    </w:lvl>
    <w:lvl w:ilvl="3" w:tplc="7B30513C">
      <w:start w:val="1"/>
      <w:numFmt w:val="decimal"/>
      <w:lvlText w:val="%4."/>
      <w:lvlJc w:val="left"/>
      <w:pPr>
        <w:ind w:left="2880" w:hanging="360"/>
      </w:pPr>
    </w:lvl>
    <w:lvl w:ilvl="4" w:tplc="D0EED0CC">
      <w:start w:val="1"/>
      <w:numFmt w:val="lowerLetter"/>
      <w:lvlText w:val="%5."/>
      <w:lvlJc w:val="left"/>
      <w:pPr>
        <w:ind w:left="3600" w:hanging="360"/>
      </w:pPr>
    </w:lvl>
    <w:lvl w:ilvl="5" w:tplc="BA4EE944">
      <w:start w:val="1"/>
      <w:numFmt w:val="lowerRoman"/>
      <w:lvlText w:val="%6."/>
      <w:lvlJc w:val="right"/>
      <w:pPr>
        <w:ind w:left="4320" w:hanging="180"/>
      </w:pPr>
    </w:lvl>
    <w:lvl w:ilvl="6" w:tplc="7D26932A">
      <w:start w:val="1"/>
      <w:numFmt w:val="decimal"/>
      <w:lvlText w:val="%7."/>
      <w:lvlJc w:val="left"/>
      <w:pPr>
        <w:ind w:left="5040" w:hanging="360"/>
      </w:pPr>
    </w:lvl>
    <w:lvl w:ilvl="7" w:tplc="3F3E9C8C">
      <w:start w:val="1"/>
      <w:numFmt w:val="lowerLetter"/>
      <w:lvlText w:val="%8."/>
      <w:lvlJc w:val="left"/>
      <w:pPr>
        <w:ind w:left="5760" w:hanging="360"/>
      </w:pPr>
    </w:lvl>
    <w:lvl w:ilvl="8" w:tplc="4964E34A">
      <w:start w:val="1"/>
      <w:numFmt w:val="lowerRoman"/>
      <w:lvlText w:val="%9."/>
      <w:lvlJc w:val="right"/>
      <w:pPr>
        <w:ind w:left="6480" w:hanging="180"/>
      </w:pPr>
    </w:lvl>
  </w:abstractNum>
  <w:abstractNum w:abstractNumId="19" w15:restartNumberingAfterBreak="0">
    <w:nsid w:val="3AE34A0B"/>
    <w:multiLevelType w:val="hybridMultilevel"/>
    <w:tmpl w:val="BEA8D2B2"/>
    <w:lvl w:ilvl="0" w:tplc="90C0BC3A">
      <w:start w:val="1"/>
      <w:numFmt w:val="lowerLetter"/>
      <w:lvlText w:val="%1)"/>
      <w:lvlJc w:val="left"/>
      <w:pPr>
        <w:ind w:left="1001"/>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8D103E52">
      <w:start w:val="1"/>
      <w:numFmt w:val="lowerLetter"/>
      <w:lvlText w:val="%2"/>
      <w:lvlJc w:val="left"/>
      <w:pPr>
        <w:ind w:left="207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578E5D7E">
      <w:start w:val="1"/>
      <w:numFmt w:val="lowerRoman"/>
      <w:lvlText w:val="%3"/>
      <w:lvlJc w:val="left"/>
      <w:pPr>
        <w:ind w:left="279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61AFB1E">
      <w:start w:val="1"/>
      <w:numFmt w:val="decimal"/>
      <w:lvlText w:val="%4"/>
      <w:lvlJc w:val="left"/>
      <w:pPr>
        <w:ind w:left="351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7436B228">
      <w:start w:val="1"/>
      <w:numFmt w:val="lowerLetter"/>
      <w:lvlText w:val="%5"/>
      <w:lvlJc w:val="left"/>
      <w:pPr>
        <w:ind w:left="423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49523ADC">
      <w:start w:val="1"/>
      <w:numFmt w:val="lowerRoman"/>
      <w:lvlText w:val="%6"/>
      <w:lvlJc w:val="left"/>
      <w:pPr>
        <w:ind w:left="495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5978DC36">
      <w:start w:val="1"/>
      <w:numFmt w:val="decimal"/>
      <w:lvlText w:val="%7"/>
      <w:lvlJc w:val="left"/>
      <w:pPr>
        <w:ind w:left="567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863AED28">
      <w:start w:val="1"/>
      <w:numFmt w:val="lowerLetter"/>
      <w:lvlText w:val="%8"/>
      <w:lvlJc w:val="left"/>
      <w:pPr>
        <w:ind w:left="639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C760412E">
      <w:start w:val="1"/>
      <w:numFmt w:val="lowerRoman"/>
      <w:lvlText w:val="%9"/>
      <w:lvlJc w:val="left"/>
      <w:pPr>
        <w:ind w:left="711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13A1DCC"/>
    <w:multiLevelType w:val="hybridMultilevel"/>
    <w:tmpl w:val="A170EE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5F778C"/>
    <w:multiLevelType w:val="hybridMultilevel"/>
    <w:tmpl w:val="B750EA5E"/>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1A4941"/>
    <w:multiLevelType w:val="hybridMultilevel"/>
    <w:tmpl w:val="12103720"/>
    <w:lvl w:ilvl="0" w:tplc="783400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677349"/>
    <w:multiLevelType w:val="hybridMultilevel"/>
    <w:tmpl w:val="F258A4C0"/>
    <w:lvl w:ilvl="0" w:tplc="B51EC102">
      <w:start w:val="1"/>
      <w:numFmt w:val="lowerLetter"/>
      <w:lvlText w:val="%1)"/>
      <w:lvlJc w:val="left"/>
      <w:pPr>
        <w:ind w:left="1231"/>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19488E"/>
    <w:multiLevelType w:val="hybridMultilevel"/>
    <w:tmpl w:val="6B82D376"/>
    <w:lvl w:ilvl="0" w:tplc="174E849C">
      <w:start w:val="20"/>
      <w:numFmt w:val="decimal"/>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596809C">
      <w:start w:val="1"/>
      <w:numFmt w:val="lowerLetter"/>
      <w:lvlText w:val="%2"/>
      <w:lvlJc w:val="left"/>
      <w:pPr>
        <w:ind w:left="17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F1C345E">
      <w:start w:val="1"/>
      <w:numFmt w:val="lowerRoman"/>
      <w:lvlText w:val="%3"/>
      <w:lvlJc w:val="left"/>
      <w:pPr>
        <w:ind w:left="25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EA22BBE">
      <w:start w:val="1"/>
      <w:numFmt w:val="decimal"/>
      <w:lvlText w:val="%4"/>
      <w:lvlJc w:val="left"/>
      <w:pPr>
        <w:ind w:left="32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228D770">
      <w:start w:val="1"/>
      <w:numFmt w:val="lowerLetter"/>
      <w:lvlText w:val="%5"/>
      <w:lvlJc w:val="left"/>
      <w:pPr>
        <w:ind w:left="39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9ECF050">
      <w:start w:val="1"/>
      <w:numFmt w:val="lowerRoman"/>
      <w:lvlText w:val="%6"/>
      <w:lvlJc w:val="left"/>
      <w:pPr>
        <w:ind w:left="46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C741186">
      <w:start w:val="1"/>
      <w:numFmt w:val="decimal"/>
      <w:lvlText w:val="%7"/>
      <w:lvlJc w:val="left"/>
      <w:pPr>
        <w:ind w:left="53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99A73C4">
      <w:start w:val="1"/>
      <w:numFmt w:val="lowerLetter"/>
      <w:lvlText w:val="%8"/>
      <w:lvlJc w:val="left"/>
      <w:pPr>
        <w:ind w:left="61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DA657E4">
      <w:start w:val="1"/>
      <w:numFmt w:val="lowerRoman"/>
      <w:lvlText w:val="%9"/>
      <w:lvlJc w:val="left"/>
      <w:pPr>
        <w:ind w:left="68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EFC6E68"/>
    <w:multiLevelType w:val="hybridMultilevel"/>
    <w:tmpl w:val="C5584E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8156FC"/>
    <w:multiLevelType w:val="hybridMultilevel"/>
    <w:tmpl w:val="B7A82D04"/>
    <w:lvl w:ilvl="0" w:tplc="5A9474D2">
      <w:start w:val="1"/>
      <w:numFmt w:val="lowerLetter"/>
      <w:lvlText w:val="%1)"/>
      <w:lvlJc w:val="left"/>
      <w:pPr>
        <w:ind w:left="859"/>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2CD2E096">
      <w:start w:val="1"/>
      <w:numFmt w:val="lowerLetter"/>
      <w:lvlText w:val="%2"/>
      <w:lvlJc w:val="left"/>
      <w:pPr>
        <w:ind w:left="193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5D24C6DC">
      <w:start w:val="1"/>
      <w:numFmt w:val="lowerRoman"/>
      <w:lvlText w:val="%3"/>
      <w:lvlJc w:val="left"/>
      <w:pPr>
        <w:ind w:left="265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5C8E05A4">
      <w:start w:val="1"/>
      <w:numFmt w:val="decimal"/>
      <w:lvlText w:val="%4"/>
      <w:lvlJc w:val="left"/>
      <w:pPr>
        <w:ind w:left="337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A53EAC3A">
      <w:start w:val="1"/>
      <w:numFmt w:val="lowerLetter"/>
      <w:lvlText w:val="%5"/>
      <w:lvlJc w:val="left"/>
      <w:pPr>
        <w:ind w:left="409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CC905120">
      <w:start w:val="1"/>
      <w:numFmt w:val="lowerRoman"/>
      <w:lvlText w:val="%6"/>
      <w:lvlJc w:val="left"/>
      <w:pPr>
        <w:ind w:left="481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97CE3856">
      <w:start w:val="1"/>
      <w:numFmt w:val="decimal"/>
      <w:lvlText w:val="%7"/>
      <w:lvlJc w:val="left"/>
      <w:pPr>
        <w:ind w:left="553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3EC671C">
      <w:start w:val="1"/>
      <w:numFmt w:val="lowerLetter"/>
      <w:lvlText w:val="%8"/>
      <w:lvlJc w:val="left"/>
      <w:pPr>
        <w:ind w:left="625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F3A2327C">
      <w:start w:val="1"/>
      <w:numFmt w:val="lowerRoman"/>
      <w:lvlText w:val="%9"/>
      <w:lvlJc w:val="left"/>
      <w:pPr>
        <w:ind w:left="697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795480F"/>
    <w:multiLevelType w:val="hybridMultilevel"/>
    <w:tmpl w:val="C5584E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BE30F6"/>
    <w:multiLevelType w:val="hybridMultilevel"/>
    <w:tmpl w:val="385EF77C"/>
    <w:lvl w:ilvl="0" w:tplc="EDBE46F6">
      <w:start w:val="1"/>
      <w:numFmt w:val="decimal"/>
      <w:lvlText w:val="%1)"/>
      <w:lvlJc w:val="left"/>
      <w:pPr>
        <w:ind w:left="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966772E">
      <w:start w:val="1"/>
      <w:numFmt w:val="lowerLetter"/>
      <w:lvlText w:val="%2."/>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BBE4504">
      <w:start w:val="1"/>
      <w:numFmt w:val="lowerRoman"/>
      <w:lvlText w:val="%3"/>
      <w:lvlJc w:val="left"/>
      <w:pPr>
        <w:ind w:left="1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13204B8">
      <w:start w:val="1"/>
      <w:numFmt w:val="decimal"/>
      <w:lvlText w:val="%4"/>
      <w:lvlJc w:val="left"/>
      <w:pPr>
        <w:ind w:left="2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4B84552">
      <w:start w:val="1"/>
      <w:numFmt w:val="lowerLetter"/>
      <w:lvlText w:val="%5"/>
      <w:lvlJc w:val="left"/>
      <w:pPr>
        <w:ind w:left="3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A0EE142">
      <w:start w:val="1"/>
      <w:numFmt w:val="lowerRoman"/>
      <w:lvlText w:val="%6"/>
      <w:lvlJc w:val="left"/>
      <w:pPr>
        <w:ind w:left="4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742328E">
      <w:start w:val="1"/>
      <w:numFmt w:val="decimal"/>
      <w:lvlText w:val="%7"/>
      <w:lvlJc w:val="left"/>
      <w:pPr>
        <w:ind w:left="4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522654">
      <w:start w:val="1"/>
      <w:numFmt w:val="lowerLetter"/>
      <w:lvlText w:val="%8"/>
      <w:lvlJc w:val="left"/>
      <w:pPr>
        <w:ind w:left="5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6A76CC">
      <w:start w:val="1"/>
      <w:numFmt w:val="lowerRoman"/>
      <w:lvlText w:val="%9"/>
      <w:lvlJc w:val="left"/>
      <w:pPr>
        <w:ind w:left="6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08A57EC"/>
    <w:multiLevelType w:val="hybridMultilevel"/>
    <w:tmpl w:val="78D88C82"/>
    <w:lvl w:ilvl="0" w:tplc="B78C074C">
      <w:start w:val="1"/>
      <w:numFmt w:val="lowerLetter"/>
      <w:lvlText w:val="%1)"/>
      <w:lvlJc w:val="left"/>
      <w:pPr>
        <w:ind w:left="9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6ECEE60">
      <w:start w:val="1"/>
      <w:numFmt w:val="lowerLetter"/>
      <w:lvlText w:val="%2"/>
      <w:lvlJc w:val="left"/>
      <w:pPr>
        <w:ind w:left="17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532A76C">
      <w:start w:val="1"/>
      <w:numFmt w:val="lowerRoman"/>
      <w:lvlText w:val="%3"/>
      <w:lvlJc w:val="left"/>
      <w:pPr>
        <w:ind w:left="24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68CD312">
      <w:start w:val="1"/>
      <w:numFmt w:val="decimal"/>
      <w:lvlText w:val="%4"/>
      <w:lvlJc w:val="left"/>
      <w:pPr>
        <w:ind w:left="31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018161A">
      <w:start w:val="1"/>
      <w:numFmt w:val="lowerLetter"/>
      <w:lvlText w:val="%5"/>
      <w:lvlJc w:val="left"/>
      <w:pPr>
        <w:ind w:left="38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8D473F0">
      <w:start w:val="1"/>
      <w:numFmt w:val="lowerRoman"/>
      <w:lvlText w:val="%6"/>
      <w:lvlJc w:val="left"/>
      <w:pPr>
        <w:ind w:left="4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DDC6CDA">
      <w:start w:val="1"/>
      <w:numFmt w:val="decimal"/>
      <w:lvlText w:val="%7"/>
      <w:lvlJc w:val="left"/>
      <w:pPr>
        <w:ind w:left="5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74460C0">
      <w:start w:val="1"/>
      <w:numFmt w:val="lowerLetter"/>
      <w:lvlText w:val="%8"/>
      <w:lvlJc w:val="left"/>
      <w:pPr>
        <w:ind w:left="60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940215A">
      <w:start w:val="1"/>
      <w:numFmt w:val="lowerRoman"/>
      <w:lvlText w:val="%9"/>
      <w:lvlJc w:val="left"/>
      <w:pPr>
        <w:ind w:left="6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1083073"/>
    <w:multiLevelType w:val="hybridMultilevel"/>
    <w:tmpl w:val="E2DCAF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1C50707"/>
    <w:multiLevelType w:val="hybridMultilevel"/>
    <w:tmpl w:val="A9C683E8"/>
    <w:lvl w:ilvl="0" w:tplc="783400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52BB0A5"/>
    <w:multiLevelType w:val="hybridMultilevel"/>
    <w:tmpl w:val="FFFFFFFF"/>
    <w:lvl w:ilvl="0" w:tplc="B29A5060">
      <w:start w:val="1"/>
      <w:numFmt w:val="decimal"/>
      <w:lvlText w:val="%1."/>
      <w:lvlJc w:val="left"/>
      <w:pPr>
        <w:ind w:left="720" w:hanging="360"/>
      </w:pPr>
    </w:lvl>
    <w:lvl w:ilvl="1" w:tplc="E9D093F0">
      <w:start w:val="1"/>
      <w:numFmt w:val="lowerLetter"/>
      <w:lvlText w:val="%2."/>
      <w:lvlJc w:val="left"/>
      <w:pPr>
        <w:ind w:left="1440" w:hanging="360"/>
      </w:pPr>
    </w:lvl>
    <w:lvl w:ilvl="2" w:tplc="09426392">
      <w:start w:val="1"/>
      <w:numFmt w:val="lowerRoman"/>
      <w:lvlText w:val="%3."/>
      <w:lvlJc w:val="right"/>
      <w:pPr>
        <w:ind w:left="2160" w:hanging="180"/>
      </w:pPr>
    </w:lvl>
    <w:lvl w:ilvl="3" w:tplc="40C4F41E">
      <w:start w:val="1"/>
      <w:numFmt w:val="decimal"/>
      <w:lvlText w:val="%4."/>
      <w:lvlJc w:val="left"/>
      <w:pPr>
        <w:ind w:left="2880" w:hanging="360"/>
      </w:pPr>
    </w:lvl>
    <w:lvl w:ilvl="4" w:tplc="A36A883E">
      <w:start w:val="1"/>
      <w:numFmt w:val="lowerLetter"/>
      <w:lvlText w:val="%5."/>
      <w:lvlJc w:val="left"/>
      <w:pPr>
        <w:ind w:left="3600" w:hanging="360"/>
      </w:pPr>
    </w:lvl>
    <w:lvl w:ilvl="5" w:tplc="5A724F02">
      <w:start w:val="1"/>
      <w:numFmt w:val="lowerRoman"/>
      <w:lvlText w:val="%6."/>
      <w:lvlJc w:val="right"/>
      <w:pPr>
        <w:ind w:left="4320" w:hanging="180"/>
      </w:pPr>
    </w:lvl>
    <w:lvl w:ilvl="6" w:tplc="8C6CA5A6">
      <w:start w:val="1"/>
      <w:numFmt w:val="decimal"/>
      <w:lvlText w:val="%7."/>
      <w:lvlJc w:val="left"/>
      <w:pPr>
        <w:ind w:left="5040" w:hanging="360"/>
      </w:pPr>
    </w:lvl>
    <w:lvl w:ilvl="7" w:tplc="7E3EB2C4">
      <w:start w:val="1"/>
      <w:numFmt w:val="lowerLetter"/>
      <w:lvlText w:val="%8."/>
      <w:lvlJc w:val="left"/>
      <w:pPr>
        <w:ind w:left="5760" w:hanging="360"/>
      </w:pPr>
    </w:lvl>
    <w:lvl w:ilvl="8" w:tplc="87729108">
      <w:start w:val="1"/>
      <w:numFmt w:val="lowerRoman"/>
      <w:lvlText w:val="%9."/>
      <w:lvlJc w:val="right"/>
      <w:pPr>
        <w:ind w:left="6480" w:hanging="180"/>
      </w:pPr>
    </w:lvl>
  </w:abstractNum>
  <w:abstractNum w:abstractNumId="33" w15:restartNumberingAfterBreak="0">
    <w:nsid w:val="67AF790C"/>
    <w:multiLevelType w:val="hybridMultilevel"/>
    <w:tmpl w:val="43F8021A"/>
    <w:lvl w:ilvl="0" w:tplc="20629F7E">
      <w:start w:val="2"/>
      <w:numFmt w:val="decimal"/>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582B022">
      <w:start w:val="1"/>
      <w:numFmt w:val="lowerLetter"/>
      <w:lvlText w:val="%2"/>
      <w:lvlJc w:val="left"/>
      <w:pPr>
        <w:ind w:left="17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5E4E84A">
      <w:start w:val="1"/>
      <w:numFmt w:val="lowerRoman"/>
      <w:lvlText w:val="%3"/>
      <w:lvlJc w:val="left"/>
      <w:pPr>
        <w:ind w:left="25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F843032">
      <w:start w:val="1"/>
      <w:numFmt w:val="decimal"/>
      <w:lvlText w:val="%4"/>
      <w:lvlJc w:val="left"/>
      <w:pPr>
        <w:ind w:left="32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EC03EAC">
      <w:start w:val="1"/>
      <w:numFmt w:val="lowerLetter"/>
      <w:lvlText w:val="%5"/>
      <w:lvlJc w:val="left"/>
      <w:pPr>
        <w:ind w:left="39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896FF3E">
      <w:start w:val="1"/>
      <w:numFmt w:val="lowerRoman"/>
      <w:lvlText w:val="%6"/>
      <w:lvlJc w:val="left"/>
      <w:pPr>
        <w:ind w:left="46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C5A7A78">
      <w:start w:val="1"/>
      <w:numFmt w:val="decimal"/>
      <w:lvlText w:val="%7"/>
      <w:lvlJc w:val="left"/>
      <w:pPr>
        <w:ind w:left="53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1B22580">
      <w:start w:val="1"/>
      <w:numFmt w:val="lowerLetter"/>
      <w:lvlText w:val="%8"/>
      <w:lvlJc w:val="left"/>
      <w:pPr>
        <w:ind w:left="61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6A01702">
      <w:start w:val="1"/>
      <w:numFmt w:val="lowerRoman"/>
      <w:lvlText w:val="%9"/>
      <w:lvlJc w:val="left"/>
      <w:pPr>
        <w:ind w:left="68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FF0EC0C"/>
    <w:multiLevelType w:val="hybridMultilevel"/>
    <w:tmpl w:val="FFFFFFFF"/>
    <w:lvl w:ilvl="0" w:tplc="01EAC766">
      <w:start w:val="1"/>
      <w:numFmt w:val="decimal"/>
      <w:lvlText w:val="%1."/>
      <w:lvlJc w:val="left"/>
      <w:pPr>
        <w:ind w:left="720" w:hanging="360"/>
      </w:pPr>
    </w:lvl>
    <w:lvl w:ilvl="1" w:tplc="469054AC">
      <w:start w:val="1"/>
      <w:numFmt w:val="lowerLetter"/>
      <w:lvlText w:val="%2."/>
      <w:lvlJc w:val="left"/>
      <w:pPr>
        <w:ind w:left="1440" w:hanging="360"/>
      </w:pPr>
    </w:lvl>
    <w:lvl w:ilvl="2" w:tplc="E2346714">
      <w:start w:val="1"/>
      <w:numFmt w:val="lowerRoman"/>
      <w:lvlText w:val="%3."/>
      <w:lvlJc w:val="right"/>
      <w:pPr>
        <w:ind w:left="2160" w:hanging="180"/>
      </w:pPr>
    </w:lvl>
    <w:lvl w:ilvl="3" w:tplc="D732285C">
      <w:start w:val="1"/>
      <w:numFmt w:val="decimal"/>
      <w:lvlText w:val="%4."/>
      <w:lvlJc w:val="left"/>
      <w:pPr>
        <w:ind w:left="2880" w:hanging="360"/>
      </w:pPr>
    </w:lvl>
    <w:lvl w:ilvl="4" w:tplc="A05693CA">
      <w:start w:val="1"/>
      <w:numFmt w:val="lowerLetter"/>
      <w:lvlText w:val="%5."/>
      <w:lvlJc w:val="left"/>
      <w:pPr>
        <w:ind w:left="3600" w:hanging="360"/>
      </w:pPr>
    </w:lvl>
    <w:lvl w:ilvl="5" w:tplc="47864520">
      <w:start w:val="1"/>
      <w:numFmt w:val="lowerRoman"/>
      <w:lvlText w:val="%6."/>
      <w:lvlJc w:val="right"/>
      <w:pPr>
        <w:ind w:left="4320" w:hanging="180"/>
      </w:pPr>
    </w:lvl>
    <w:lvl w:ilvl="6" w:tplc="391C711A">
      <w:start w:val="1"/>
      <w:numFmt w:val="decimal"/>
      <w:lvlText w:val="%7."/>
      <w:lvlJc w:val="left"/>
      <w:pPr>
        <w:ind w:left="5040" w:hanging="360"/>
      </w:pPr>
    </w:lvl>
    <w:lvl w:ilvl="7" w:tplc="6E842C5E">
      <w:start w:val="1"/>
      <w:numFmt w:val="lowerLetter"/>
      <w:lvlText w:val="%8."/>
      <w:lvlJc w:val="left"/>
      <w:pPr>
        <w:ind w:left="5760" w:hanging="360"/>
      </w:pPr>
    </w:lvl>
    <w:lvl w:ilvl="8" w:tplc="9B40744C">
      <w:start w:val="1"/>
      <w:numFmt w:val="lowerRoman"/>
      <w:lvlText w:val="%9."/>
      <w:lvlJc w:val="right"/>
      <w:pPr>
        <w:ind w:left="6480" w:hanging="180"/>
      </w:pPr>
    </w:lvl>
  </w:abstractNum>
  <w:abstractNum w:abstractNumId="35" w15:restartNumberingAfterBreak="0">
    <w:nsid w:val="74570ACF"/>
    <w:multiLevelType w:val="hybridMultilevel"/>
    <w:tmpl w:val="B9EAC0D2"/>
    <w:lvl w:ilvl="0" w:tplc="C9762822">
      <w:start w:val="2"/>
      <w:numFmt w:val="decimal"/>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12D4B5D2">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D13A420A">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D63C7448">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5BDEB7DA">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CAD84EFE">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EC263400">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2BFE11BE">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090A381C">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502154A"/>
    <w:multiLevelType w:val="hybridMultilevel"/>
    <w:tmpl w:val="D0A4D31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48288F"/>
    <w:multiLevelType w:val="hybridMultilevel"/>
    <w:tmpl w:val="6E7055A2"/>
    <w:lvl w:ilvl="0" w:tplc="C1602DE8">
      <w:start w:val="2"/>
      <w:numFmt w:val="decimal"/>
      <w:lvlText w:val="%1."/>
      <w:lvlJc w:val="left"/>
      <w:pPr>
        <w:ind w:left="77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8522F4F4">
      <w:start w:val="1"/>
      <w:numFmt w:val="lowerLetter"/>
      <w:lvlText w:val="%2"/>
      <w:lvlJc w:val="left"/>
      <w:pPr>
        <w:ind w:left="14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BB6251D4">
      <w:start w:val="1"/>
      <w:numFmt w:val="lowerRoman"/>
      <w:lvlText w:val="%3"/>
      <w:lvlJc w:val="left"/>
      <w:pPr>
        <w:ind w:left="22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81065A0E">
      <w:start w:val="1"/>
      <w:numFmt w:val="decimal"/>
      <w:lvlText w:val="%4"/>
      <w:lvlJc w:val="left"/>
      <w:pPr>
        <w:ind w:left="29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7D011BA">
      <w:start w:val="1"/>
      <w:numFmt w:val="lowerLetter"/>
      <w:lvlText w:val="%5"/>
      <w:lvlJc w:val="left"/>
      <w:pPr>
        <w:ind w:left="36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9C661E8">
      <w:start w:val="1"/>
      <w:numFmt w:val="lowerRoman"/>
      <w:lvlText w:val="%6"/>
      <w:lvlJc w:val="left"/>
      <w:pPr>
        <w:ind w:left="43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7796564E">
      <w:start w:val="1"/>
      <w:numFmt w:val="decimal"/>
      <w:lvlText w:val="%7"/>
      <w:lvlJc w:val="left"/>
      <w:pPr>
        <w:ind w:left="50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53100B54">
      <w:start w:val="1"/>
      <w:numFmt w:val="lowerLetter"/>
      <w:lvlText w:val="%8"/>
      <w:lvlJc w:val="left"/>
      <w:pPr>
        <w:ind w:left="5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FB14EE08">
      <w:start w:val="1"/>
      <w:numFmt w:val="lowerRoman"/>
      <w:lvlText w:val="%9"/>
      <w:lvlJc w:val="left"/>
      <w:pPr>
        <w:ind w:left="6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7723457"/>
    <w:multiLevelType w:val="hybridMultilevel"/>
    <w:tmpl w:val="D0A4D318"/>
    <w:lvl w:ilvl="0" w:tplc="B6E4F74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EE0E5E"/>
    <w:multiLevelType w:val="hybridMultilevel"/>
    <w:tmpl w:val="C8D2DE96"/>
    <w:lvl w:ilvl="0" w:tplc="CDF6EE5E">
      <w:start w:val="24"/>
      <w:numFmt w:val="decimal"/>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30201A6">
      <w:start w:val="1"/>
      <w:numFmt w:val="lowerLetter"/>
      <w:lvlText w:val="%2"/>
      <w:lvlJc w:val="left"/>
      <w:pPr>
        <w:ind w:left="17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6F017DE">
      <w:start w:val="1"/>
      <w:numFmt w:val="lowerRoman"/>
      <w:lvlText w:val="%3"/>
      <w:lvlJc w:val="left"/>
      <w:pPr>
        <w:ind w:left="25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00E30A4">
      <w:start w:val="1"/>
      <w:numFmt w:val="decimal"/>
      <w:lvlText w:val="%4"/>
      <w:lvlJc w:val="left"/>
      <w:pPr>
        <w:ind w:left="32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C1E8698">
      <w:start w:val="1"/>
      <w:numFmt w:val="lowerLetter"/>
      <w:lvlText w:val="%5"/>
      <w:lvlJc w:val="left"/>
      <w:pPr>
        <w:ind w:left="39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2C8098A">
      <w:start w:val="1"/>
      <w:numFmt w:val="lowerRoman"/>
      <w:lvlText w:val="%6"/>
      <w:lvlJc w:val="left"/>
      <w:pPr>
        <w:ind w:left="46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182A6A0">
      <w:start w:val="1"/>
      <w:numFmt w:val="decimal"/>
      <w:lvlText w:val="%7"/>
      <w:lvlJc w:val="left"/>
      <w:pPr>
        <w:ind w:left="53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B5263D0">
      <w:start w:val="1"/>
      <w:numFmt w:val="lowerLetter"/>
      <w:lvlText w:val="%8"/>
      <w:lvlJc w:val="left"/>
      <w:pPr>
        <w:ind w:left="61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71A9866">
      <w:start w:val="1"/>
      <w:numFmt w:val="lowerRoman"/>
      <w:lvlText w:val="%9"/>
      <w:lvlJc w:val="left"/>
      <w:pPr>
        <w:ind w:left="68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95210D9"/>
    <w:multiLevelType w:val="hybridMultilevel"/>
    <w:tmpl w:val="EA6A7368"/>
    <w:lvl w:ilvl="0" w:tplc="D2D6D5D6">
      <w:start w:val="1"/>
      <w:numFmt w:val="lowerLetter"/>
      <w:lvlText w:val="%1)"/>
      <w:lvlJc w:val="left"/>
      <w:pPr>
        <w:ind w:left="80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27C581A">
      <w:start w:val="1"/>
      <w:numFmt w:val="lowerLetter"/>
      <w:lvlText w:val="%2"/>
      <w:lvlJc w:val="left"/>
      <w:pPr>
        <w:ind w:left="15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DF27C60">
      <w:start w:val="1"/>
      <w:numFmt w:val="lowerRoman"/>
      <w:lvlText w:val="%3"/>
      <w:lvlJc w:val="left"/>
      <w:pPr>
        <w:ind w:left="22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5123A74">
      <w:start w:val="1"/>
      <w:numFmt w:val="decimal"/>
      <w:lvlText w:val="%4"/>
      <w:lvlJc w:val="left"/>
      <w:pPr>
        <w:ind w:left="29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82C5298">
      <w:start w:val="1"/>
      <w:numFmt w:val="lowerLetter"/>
      <w:lvlText w:val="%5"/>
      <w:lvlJc w:val="left"/>
      <w:pPr>
        <w:ind w:left="36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D220DCE">
      <w:start w:val="1"/>
      <w:numFmt w:val="lowerRoman"/>
      <w:lvlText w:val="%6"/>
      <w:lvlJc w:val="left"/>
      <w:pPr>
        <w:ind w:left="43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8B6E2F0">
      <w:start w:val="1"/>
      <w:numFmt w:val="decimal"/>
      <w:lvlText w:val="%7"/>
      <w:lvlJc w:val="left"/>
      <w:pPr>
        <w:ind w:left="51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888F960">
      <w:start w:val="1"/>
      <w:numFmt w:val="lowerLetter"/>
      <w:lvlText w:val="%8"/>
      <w:lvlJc w:val="left"/>
      <w:pPr>
        <w:ind w:left="58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47EBBD8">
      <w:start w:val="1"/>
      <w:numFmt w:val="lowerRoman"/>
      <w:lvlText w:val="%9"/>
      <w:lvlJc w:val="left"/>
      <w:pPr>
        <w:ind w:left="65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9B2040A"/>
    <w:multiLevelType w:val="hybridMultilevel"/>
    <w:tmpl w:val="D0A4D31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434FF0"/>
    <w:multiLevelType w:val="hybridMultilevel"/>
    <w:tmpl w:val="D6AE7FEC"/>
    <w:lvl w:ilvl="0" w:tplc="E05CCA0C">
      <w:start w:val="1"/>
      <w:numFmt w:val="decimal"/>
      <w:lvlText w:val="%1"/>
      <w:lvlJc w:val="left"/>
      <w:pPr>
        <w:ind w:left="3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B51EC102">
      <w:start w:val="1"/>
      <w:numFmt w:val="lowerLetter"/>
      <w:lvlText w:val="%2)"/>
      <w:lvlJc w:val="left"/>
      <w:pPr>
        <w:ind w:left="1231"/>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2610B1CC">
      <w:start w:val="1"/>
      <w:numFmt w:val="lowerRoman"/>
      <w:lvlText w:val="%3"/>
      <w:lvlJc w:val="left"/>
      <w:pPr>
        <w:ind w:left="207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972E506E">
      <w:start w:val="1"/>
      <w:numFmt w:val="decimal"/>
      <w:lvlText w:val="%4"/>
      <w:lvlJc w:val="left"/>
      <w:pPr>
        <w:ind w:left="279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E1FE5F6C">
      <w:start w:val="1"/>
      <w:numFmt w:val="lowerLetter"/>
      <w:lvlText w:val="%5"/>
      <w:lvlJc w:val="left"/>
      <w:pPr>
        <w:ind w:left="351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1A268EDE">
      <w:start w:val="1"/>
      <w:numFmt w:val="lowerRoman"/>
      <w:lvlText w:val="%6"/>
      <w:lvlJc w:val="left"/>
      <w:pPr>
        <w:ind w:left="423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1ECCA90">
      <w:start w:val="1"/>
      <w:numFmt w:val="decimal"/>
      <w:lvlText w:val="%7"/>
      <w:lvlJc w:val="left"/>
      <w:pPr>
        <w:ind w:left="495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A5541A90">
      <w:start w:val="1"/>
      <w:numFmt w:val="lowerLetter"/>
      <w:lvlText w:val="%8"/>
      <w:lvlJc w:val="left"/>
      <w:pPr>
        <w:ind w:left="567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7934525C">
      <w:start w:val="1"/>
      <w:numFmt w:val="lowerRoman"/>
      <w:lvlText w:val="%9"/>
      <w:lvlJc w:val="left"/>
      <w:pPr>
        <w:ind w:left="639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num w:numId="1" w16cid:durableId="531650098">
    <w:abstractNumId w:val="34"/>
  </w:num>
  <w:num w:numId="2" w16cid:durableId="922687952">
    <w:abstractNumId w:val="32"/>
  </w:num>
  <w:num w:numId="3" w16cid:durableId="1416434639">
    <w:abstractNumId w:val="15"/>
  </w:num>
  <w:num w:numId="4" w16cid:durableId="1463302383">
    <w:abstractNumId w:val="25"/>
  </w:num>
  <w:num w:numId="5" w16cid:durableId="770666913">
    <w:abstractNumId w:val="27"/>
  </w:num>
  <w:num w:numId="6" w16cid:durableId="1834029026">
    <w:abstractNumId w:val="11"/>
  </w:num>
  <w:num w:numId="7" w16cid:durableId="2096432971">
    <w:abstractNumId w:val="7"/>
  </w:num>
  <w:num w:numId="8" w16cid:durableId="791753748">
    <w:abstractNumId w:val="13"/>
  </w:num>
  <w:num w:numId="9" w16cid:durableId="412049129">
    <w:abstractNumId w:val="20"/>
  </w:num>
  <w:num w:numId="10" w16cid:durableId="1708329689">
    <w:abstractNumId w:val="16"/>
  </w:num>
  <w:num w:numId="11" w16cid:durableId="5135239">
    <w:abstractNumId w:val="3"/>
  </w:num>
  <w:num w:numId="12" w16cid:durableId="1507357814">
    <w:abstractNumId w:val="18"/>
  </w:num>
  <w:num w:numId="13" w16cid:durableId="911692993">
    <w:abstractNumId w:val="12"/>
  </w:num>
  <w:num w:numId="14" w16cid:durableId="1456096229">
    <w:abstractNumId w:val="30"/>
  </w:num>
  <w:num w:numId="15" w16cid:durableId="163982173">
    <w:abstractNumId w:val="0"/>
  </w:num>
  <w:num w:numId="16" w16cid:durableId="1650481946">
    <w:abstractNumId w:val="35"/>
  </w:num>
  <w:num w:numId="17" w16cid:durableId="1036274854">
    <w:abstractNumId w:val="14"/>
  </w:num>
  <w:num w:numId="18" w16cid:durableId="2078282007">
    <w:abstractNumId w:val="2"/>
  </w:num>
  <w:num w:numId="19" w16cid:durableId="1978996798">
    <w:abstractNumId w:val="40"/>
  </w:num>
  <w:num w:numId="20" w16cid:durableId="240792742">
    <w:abstractNumId w:val="8"/>
  </w:num>
  <w:num w:numId="21" w16cid:durableId="2126460928">
    <w:abstractNumId w:val="19"/>
  </w:num>
  <w:num w:numId="22" w16cid:durableId="2138333479">
    <w:abstractNumId w:val="9"/>
  </w:num>
  <w:num w:numId="23" w16cid:durableId="1159272238">
    <w:abstractNumId w:val="42"/>
  </w:num>
  <w:num w:numId="24" w16cid:durableId="2140147658">
    <w:abstractNumId w:val="26"/>
  </w:num>
  <w:num w:numId="25" w16cid:durableId="365713272">
    <w:abstractNumId w:val="28"/>
  </w:num>
  <w:num w:numId="26" w16cid:durableId="1975452221">
    <w:abstractNumId w:val="5"/>
  </w:num>
  <w:num w:numId="27" w16cid:durableId="17395817">
    <w:abstractNumId w:val="23"/>
  </w:num>
  <w:num w:numId="28" w16cid:durableId="1734430803">
    <w:abstractNumId w:val="29"/>
  </w:num>
  <w:num w:numId="29" w16cid:durableId="741875162">
    <w:abstractNumId w:val="10"/>
  </w:num>
  <w:num w:numId="30" w16cid:durableId="324670393">
    <w:abstractNumId w:val="6"/>
  </w:num>
  <w:num w:numId="31" w16cid:durableId="1819882133">
    <w:abstractNumId w:val="37"/>
  </w:num>
  <w:num w:numId="32" w16cid:durableId="1507598813">
    <w:abstractNumId w:val="17"/>
  </w:num>
  <w:num w:numId="33" w16cid:durableId="1753548219">
    <w:abstractNumId w:val="38"/>
  </w:num>
  <w:num w:numId="34" w16cid:durableId="2113478577">
    <w:abstractNumId w:val="36"/>
  </w:num>
  <w:num w:numId="35" w16cid:durableId="580137462">
    <w:abstractNumId w:val="41"/>
  </w:num>
  <w:num w:numId="36" w16cid:durableId="746272843">
    <w:abstractNumId w:val="31"/>
  </w:num>
  <w:num w:numId="37" w16cid:durableId="2075199131">
    <w:abstractNumId w:val="1"/>
  </w:num>
  <w:num w:numId="38" w16cid:durableId="1178009781">
    <w:abstractNumId w:val="22"/>
  </w:num>
  <w:num w:numId="39" w16cid:durableId="1307322897">
    <w:abstractNumId w:val="33"/>
  </w:num>
  <w:num w:numId="40" w16cid:durableId="308872284">
    <w:abstractNumId w:val="24"/>
  </w:num>
  <w:num w:numId="41" w16cid:durableId="778791071">
    <w:abstractNumId w:val="21"/>
  </w:num>
  <w:num w:numId="42" w16cid:durableId="287199006">
    <w:abstractNumId w:val="4"/>
  </w:num>
  <w:num w:numId="43" w16cid:durableId="474763093">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E38"/>
    <w:rsid w:val="00000138"/>
    <w:rsid w:val="0000086B"/>
    <w:rsid w:val="00000889"/>
    <w:rsid w:val="00000C01"/>
    <w:rsid w:val="00000D5D"/>
    <w:rsid w:val="00001093"/>
    <w:rsid w:val="000019B4"/>
    <w:rsid w:val="000021DC"/>
    <w:rsid w:val="0000240E"/>
    <w:rsid w:val="00002958"/>
    <w:rsid w:val="00002BCB"/>
    <w:rsid w:val="00002E83"/>
    <w:rsid w:val="00002EAE"/>
    <w:rsid w:val="00003196"/>
    <w:rsid w:val="0000353F"/>
    <w:rsid w:val="000038ED"/>
    <w:rsid w:val="000039A2"/>
    <w:rsid w:val="000039C9"/>
    <w:rsid w:val="00003BE2"/>
    <w:rsid w:val="00003CE9"/>
    <w:rsid w:val="00004162"/>
    <w:rsid w:val="00004183"/>
    <w:rsid w:val="0000421C"/>
    <w:rsid w:val="0000465B"/>
    <w:rsid w:val="0000469E"/>
    <w:rsid w:val="00004741"/>
    <w:rsid w:val="00004A03"/>
    <w:rsid w:val="00004B55"/>
    <w:rsid w:val="00005245"/>
    <w:rsid w:val="00005D9A"/>
    <w:rsid w:val="00006822"/>
    <w:rsid w:val="00006CDD"/>
    <w:rsid w:val="00006DF7"/>
    <w:rsid w:val="00007872"/>
    <w:rsid w:val="00007A7F"/>
    <w:rsid w:val="00007B81"/>
    <w:rsid w:val="00010640"/>
    <w:rsid w:val="00010908"/>
    <w:rsid w:val="00010F73"/>
    <w:rsid w:val="000116B0"/>
    <w:rsid w:val="000119D0"/>
    <w:rsid w:val="00011AAA"/>
    <w:rsid w:val="00011BA2"/>
    <w:rsid w:val="00011CAD"/>
    <w:rsid w:val="00012664"/>
    <w:rsid w:val="0001270A"/>
    <w:rsid w:val="00012C09"/>
    <w:rsid w:val="00012D87"/>
    <w:rsid w:val="000132B3"/>
    <w:rsid w:val="0001378B"/>
    <w:rsid w:val="00014138"/>
    <w:rsid w:val="0001419F"/>
    <w:rsid w:val="000144BB"/>
    <w:rsid w:val="00014807"/>
    <w:rsid w:val="00014A1B"/>
    <w:rsid w:val="00014B37"/>
    <w:rsid w:val="00014DCE"/>
    <w:rsid w:val="00015B94"/>
    <w:rsid w:val="00015DA1"/>
    <w:rsid w:val="000160B6"/>
    <w:rsid w:val="00016590"/>
    <w:rsid w:val="000167F0"/>
    <w:rsid w:val="00017D10"/>
    <w:rsid w:val="00017EDA"/>
    <w:rsid w:val="000203D9"/>
    <w:rsid w:val="000212BF"/>
    <w:rsid w:val="0002168B"/>
    <w:rsid w:val="00021A29"/>
    <w:rsid w:val="00021F92"/>
    <w:rsid w:val="000223E6"/>
    <w:rsid w:val="0002263E"/>
    <w:rsid w:val="0002378D"/>
    <w:rsid w:val="00023EBF"/>
    <w:rsid w:val="000243FF"/>
    <w:rsid w:val="0002457C"/>
    <w:rsid w:val="00024617"/>
    <w:rsid w:val="0002494A"/>
    <w:rsid w:val="00025284"/>
    <w:rsid w:val="000256E2"/>
    <w:rsid w:val="00025762"/>
    <w:rsid w:val="00025FA3"/>
    <w:rsid w:val="000264AA"/>
    <w:rsid w:val="0002650E"/>
    <w:rsid w:val="0002742C"/>
    <w:rsid w:val="00027B3B"/>
    <w:rsid w:val="00027C1D"/>
    <w:rsid w:val="000306EA"/>
    <w:rsid w:val="0003070F"/>
    <w:rsid w:val="00030E9C"/>
    <w:rsid w:val="000316D2"/>
    <w:rsid w:val="0003193B"/>
    <w:rsid w:val="000319D0"/>
    <w:rsid w:val="000319F1"/>
    <w:rsid w:val="00031A94"/>
    <w:rsid w:val="00032250"/>
    <w:rsid w:val="00032B82"/>
    <w:rsid w:val="00033141"/>
    <w:rsid w:val="00033E97"/>
    <w:rsid w:val="00034AE2"/>
    <w:rsid w:val="00034B48"/>
    <w:rsid w:val="00035C41"/>
    <w:rsid w:val="0003628B"/>
    <w:rsid w:val="000364EE"/>
    <w:rsid w:val="000369A8"/>
    <w:rsid w:val="00037274"/>
    <w:rsid w:val="000376D5"/>
    <w:rsid w:val="00037D28"/>
    <w:rsid w:val="000406EE"/>
    <w:rsid w:val="00040B64"/>
    <w:rsid w:val="00040FA5"/>
    <w:rsid w:val="00040FFA"/>
    <w:rsid w:val="000413DE"/>
    <w:rsid w:val="00041E5F"/>
    <w:rsid w:val="000420FD"/>
    <w:rsid w:val="00042330"/>
    <w:rsid w:val="0004243B"/>
    <w:rsid w:val="000433C4"/>
    <w:rsid w:val="00043614"/>
    <w:rsid w:val="00044782"/>
    <w:rsid w:val="00044A12"/>
    <w:rsid w:val="000450AC"/>
    <w:rsid w:val="000452B0"/>
    <w:rsid w:val="000452DD"/>
    <w:rsid w:val="000453E5"/>
    <w:rsid w:val="000457D9"/>
    <w:rsid w:val="00045938"/>
    <w:rsid w:val="00045B67"/>
    <w:rsid w:val="00045F56"/>
    <w:rsid w:val="0004603D"/>
    <w:rsid w:val="000468D9"/>
    <w:rsid w:val="00046BAC"/>
    <w:rsid w:val="00046CF3"/>
    <w:rsid w:val="00047A52"/>
    <w:rsid w:val="00047B5F"/>
    <w:rsid w:val="000502E2"/>
    <w:rsid w:val="000510C7"/>
    <w:rsid w:val="0005231A"/>
    <w:rsid w:val="00052A4C"/>
    <w:rsid w:val="00052B5E"/>
    <w:rsid w:val="00053BE9"/>
    <w:rsid w:val="00053E4D"/>
    <w:rsid w:val="000540D1"/>
    <w:rsid w:val="000541EF"/>
    <w:rsid w:val="000548E3"/>
    <w:rsid w:val="00054C32"/>
    <w:rsid w:val="00054C5E"/>
    <w:rsid w:val="00054FFF"/>
    <w:rsid w:val="00055341"/>
    <w:rsid w:val="00055D14"/>
    <w:rsid w:val="000560AB"/>
    <w:rsid w:val="000562E2"/>
    <w:rsid w:val="00056875"/>
    <w:rsid w:val="000568A3"/>
    <w:rsid w:val="000601B4"/>
    <w:rsid w:val="000611F0"/>
    <w:rsid w:val="00061544"/>
    <w:rsid w:val="00061AEF"/>
    <w:rsid w:val="00061D6E"/>
    <w:rsid w:val="00061EA8"/>
    <w:rsid w:val="00062568"/>
    <w:rsid w:val="0006277B"/>
    <w:rsid w:val="00062976"/>
    <w:rsid w:val="00063018"/>
    <w:rsid w:val="00063370"/>
    <w:rsid w:val="000639D5"/>
    <w:rsid w:val="00063C46"/>
    <w:rsid w:val="00063CB7"/>
    <w:rsid w:val="00063E1B"/>
    <w:rsid w:val="00064751"/>
    <w:rsid w:val="00064A45"/>
    <w:rsid w:val="00064CF5"/>
    <w:rsid w:val="00064E8C"/>
    <w:rsid w:val="00064F88"/>
    <w:rsid w:val="00064FE1"/>
    <w:rsid w:val="00065422"/>
    <w:rsid w:val="00065502"/>
    <w:rsid w:val="000657CF"/>
    <w:rsid w:val="00065A37"/>
    <w:rsid w:val="00065EA9"/>
    <w:rsid w:val="00066064"/>
    <w:rsid w:val="00066C89"/>
    <w:rsid w:val="00067525"/>
    <w:rsid w:val="00067974"/>
    <w:rsid w:val="00067FFD"/>
    <w:rsid w:val="00070709"/>
    <w:rsid w:val="00070AE2"/>
    <w:rsid w:val="00070F40"/>
    <w:rsid w:val="00071133"/>
    <w:rsid w:val="0007178D"/>
    <w:rsid w:val="00071A77"/>
    <w:rsid w:val="0007236B"/>
    <w:rsid w:val="00072A00"/>
    <w:rsid w:val="00072F70"/>
    <w:rsid w:val="00074043"/>
    <w:rsid w:val="000740D9"/>
    <w:rsid w:val="000743DB"/>
    <w:rsid w:val="0007495F"/>
    <w:rsid w:val="00074BFA"/>
    <w:rsid w:val="00074D29"/>
    <w:rsid w:val="00074EE7"/>
    <w:rsid w:val="0007505B"/>
    <w:rsid w:val="000750AC"/>
    <w:rsid w:val="00075386"/>
    <w:rsid w:val="00075894"/>
    <w:rsid w:val="000759C3"/>
    <w:rsid w:val="0007618F"/>
    <w:rsid w:val="000764A4"/>
    <w:rsid w:val="00076926"/>
    <w:rsid w:val="00076B3F"/>
    <w:rsid w:val="00076B60"/>
    <w:rsid w:val="00076F20"/>
    <w:rsid w:val="000772A5"/>
    <w:rsid w:val="0008064D"/>
    <w:rsid w:val="00080CF8"/>
    <w:rsid w:val="000811BD"/>
    <w:rsid w:val="00081577"/>
    <w:rsid w:val="0008174B"/>
    <w:rsid w:val="00081DF8"/>
    <w:rsid w:val="0008298E"/>
    <w:rsid w:val="00082BFB"/>
    <w:rsid w:val="00082EAB"/>
    <w:rsid w:val="00083A7B"/>
    <w:rsid w:val="00083CC8"/>
    <w:rsid w:val="00083F19"/>
    <w:rsid w:val="00084676"/>
    <w:rsid w:val="00084E0A"/>
    <w:rsid w:val="000859BB"/>
    <w:rsid w:val="00085DF7"/>
    <w:rsid w:val="00086282"/>
    <w:rsid w:val="0008632A"/>
    <w:rsid w:val="000869F4"/>
    <w:rsid w:val="00086E27"/>
    <w:rsid w:val="00086E31"/>
    <w:rsid w:val="000873B0"/>
    <w:rsid w:val="000873FF"/>
    <w:rsid w:val="000875CE"/>
    <w:rsid w:val="00087840"/>
    <w:rsid w:val="00087902"/>
    <w:rsid w:val="0008793C"/>
    <w:rsid w:val="00087CF4"/>
    <w:rsid w:val="00090040"/>
    <w:rsid w:val="000907E7"/>
    <w:rsid w:val="00090FF7"/>
    <w:rsid w:val="000912F6"/>
    <w:rsid w:val="0009150B"/>
    <w:rsid w:val="000918B5"/>
    <w:rsid w:val="00091CA0"/>
    <w:rsid w:val="00091E4C"/>
    <w:rsid w:val="0009209B"/>
    <w:rsid w:val="00092553"/>
    <w:rsid w:val="000925F2"/>
    <w:rsid w:val="00092C71"/>
    <w:rsid w:val="0009301D"/>
    <w:rsid w:val="00093065"/>
    <w:rsid w:val="0009364B"/>
    <w:rsid w:val="00094616"/>
    <w:rsid w:val="00094832"/>
    <w:rsid w:val="000948B8"/>
    <w:rsid w:val="000954BD"/>
    <w:rsid w:val="0009558F"/>
    <w:rsid w:val="000956A3"/>
    <w:rsid w:val="00095B65"/>
    <w:rsid w:val="00096B36"/>
    <w:rsid w:val="00096CCB"/>
    <w:rsid w:val="000979AD"/>
    <w:rsid w:val="00097DF5"/>
    <w:rsid w:val="000A0285"/>
    <w:rsid w:val="000A0456"/>
    <w:rsid w:val="000A0EE7"/>
    <w:rsid w:val="000A1225"/>
    <w:rsid w:val="000A2472"/>
    <w:rsid w:val="000A2797"/>
    <w:rsid w:val="000A28C0"/>
    <w:rsid w:val="000A2E65"/>
    <w:rsid w:val="000A2F51"/>
    <w:rsid w:val="000A3407"/>
    <w:rsid w:val="000A3827"/>
    <w:rsid w:val="000A3960"/>
    <w:rsid w:val="000A3C99"/>
    <w:rsid w:val="000A3D53"/>
    <w:rsid w:val="000A455F"/>
    <w:rsid w:val="000A465A"/>
    <w:rsid w:val="000A4CEB"/>
    <w:rsid w:val="000A50FB"/>
    <w:rsid w:val="000A5270"/>
    <w:rsid w:val="000A5C14"/>
    <w:rsid w:val="000A6509"/>
    <w:rsid w:val="000A662B"/>
    <w:rsid w:val="000A6934"/>
    <w:rsid w:val="000A69EA"/>
    <w:rsid w:val="000A6ABE"/>
    <w:rsid w:val="000A6CD2"/>
    <w:rsid w:val="000A7B48"/>
    <w:rsid w:val="000A7BCA"/>
    <w:rsid w:val="000A7C3D"/>
    <w:rsid w:val="000A7D1B"/>
    <w:rsid w:val="000B029D"/>
    <w:rsid w:val="000B04E5"/>
    <w:rsid w:val="000B0BCF"/>
    <w:rsid w:val="000B0C7D"/>
    <w:rsid w:val="000B0E9E"/>
    <w:rsid w:val="000B11B3"/>
    <w:rsid w:val="000B15FD"/>
    <w:rsid w:val="000B16CD"/>
    <w:rsid w:val="000B16F0"/>
    <w:rsid w:val="000B1726"/>
    <w:rsid w:val="000B1B2A"/>
    <w:rsid w:val="000B1C1A"/>
    <w:rsid w:val="000B1F58"/>
    <w:rsid w:val="000B26DD"/>
    <w:rsid w:val="000B2E2D"/>
    <w:rsid w:val="000B2F91"/>
    <w:rsid w:val="000B3271"/>
    <w:rsid w:val="000B35E5"/>
    <w:rsid w:val="000B3C46"/>
    <w:rsid w:val="000B42EE"/>
    <w:rsid w:val="000B4DE6"/>
    <w:rsid w:val="000B5015"/>
    <w:rsid w:val="000B54D4"/>
    <w:rsid w:val="000B5CD8"/>
    <w:rsid w:val="000B6AB5"/>
    <w:rsid w:val="000B6B64"/>
    <w:rsid w:val="000B716C"/>
    <w:rsid w:val="000B717C"/>
    <w:rsid w:val="000B7EA8"/>
    <w:rsid w:val="000B7F55"/>
    <w:rsid w:val="000C0172"/>
    <w:rsid w:val="000C03D3"/>
    <w:rsid w:val="000C0ECB"/>
    <w:rsid w:val="000C0FF0"/>
    <w:rsid w:val="000C14F6"/>
    <w:rsid w:val="000C23DD"/>
    <w:rsid w:val="000C2542"/>
    <w:rsid w:val="000C2AA8"/>
    <w:rsid w:val="000C2D1A"/>
    <w:rsid w:val="000C3694"/>
    <w:rsid w:val="000C4436"/>
    <w:rsid w:val="000C45AE"/>
    <w:rsid w:val="000C494B"/>
    <w:rsid w:val="000C4DF7"/>
    <w:rsid w:val="000C57A1"/>
    <w:rsid w:val="000C594A"/>
    <w:rsid w:val="000C5A51"/>
    <w:rsid w:val="000C5DEB"/>
    <w:rsid w:val="000C5E65"/>
    <w:rsid w:val="000C6355"/>
    <w:rsid w:val="000C6F60"/>
    <w:rsid w:val="000C755C"/>
    <w:rsid w:val="000C7EA4"/>
    <w:rsid w:val="000D0016"/>
    <w:rsid w:val="000D013C"/>
    <w:rsid w:val="000D0548"/>
    <w:rsid w:val="000D0DE1"/>
    <w:rsid w:val="000D1975"/>
    <w:rsid w:val="000D19D0"/>
    <w:rsid w:val="000D19E7"/>
    <w:rsid w:val="000D1F5D"/>
    <w:rsid w:val="000D2847"/>
    <w:rsid w:val="000D29D4"/>
    <w:rsid w:val="000D2D2A"/>
    <w:rsid w:val="000D3012"/>
    <w:rsid w:val="000D36CA"/>
    <w:rsid w:val="000D3854"/>
    <w:rsid w:val="000D406A"/>
    <w:rsid w:val="000D4396"/>
    <w:rsid w:val="000D4532"/>
    <w:rsid w:val="000D45FE"/>
    <w:rsid w:val="000D47AE"/>
    <w:rsid w:val="000D4CA4"/>
    <w:rsid w:val="000D529B"/>
    <w:rsid w:val="000D56FF"/>
    <w:rsid w:val="000D6096"/>
    <w:rsid w:val="000D7303"/>
    <w:rsid w:val="000D7530"/>
    <w:rsid w:val="000D7B45"/>
    <w:rsid w:val="000D7B47"/>
    <w:rsid w:val="000D7F62"/>
    <w:rsid w:val="000E01B8"/>
    <w:rsid w:val="000E04F8"/>
    <w:rsid w:val="000E0519"/>
    <w:rsid w:val="000E097F"/>
    <w:rsid w:val="000E099F"/>
    <w:rsid w:val="000E0FF3"/>
    <w:rsid w:val="000E1480"/>
    <w:rsid w:val="000E1A39"/>
    <w:rsid w:val="000E22A6"/>
    <w:rsid w:val="000E321C"/>
    <w:rsid w:val="000E4032"/>
    <w:rsid w:val="000E45B2"/>
    <w:rsid w:val="000E464F"/>
    <w:rsid w:val="000E4840"/>
    <w:rsid w:val="000E5518"/>
    <w:rsid w:val="000E581D"/>
    <w:rsid w:val="000E63EB"/>
    <w:rsid w:val="000E6575"/>
    <w:rsid w:val="000E6A57"/>
    <w:rsid w:val="000E6F9F"/>
    <w:rsid w:val="000E701B"/>
    <w:rsid w:val="000E7285"/>
    <w:rsid w:val="000E7488"/>
    <w:rsid w:val="000E74EB"/>
    <w:rsid w:val="000E777A"/>
    <w:rsid w:val="000F0C1A"/>
    <w:rsid w:val="000F0F8A"/>
    <w:rsid w:val="000F13E6"/>
    <w:rsid w:val="000F1718"/>
    <w:rsid w:val="000F1A60"/>
    <w:rsid w:val="000F1C87"/>
    <w:rsid w:val="000F1F21"/>
    <w:rsid w:val="000F1FF0"/>
    <w:rsid w:val="000F248B"/>
    <w:rsid w:val="000F36C5"/>
    <w:rsid w:val="000F3BDB"/>
    <w:rsid w:val="000F3E41"/>
    <w:rsid w:val="000F425E"/>
    <w:rsid w:val="000F4C59"/>
    <w:rsid w:val="000F5B5E"/>
    <w:rsid w:val="000F5C89"/>
    <w:rsid w:val="000F5E50"/>
    <w:rsid w:val="000F65E9"/>
    <w:rsid w:val="000F714D"/>
    <w:rsid w:val="000F7221"/>
    <w:rsid w:val="000F7717"/>
    <w:rsid w:val="000F7CCE"/>
    <w:rsid w:val="00100076"/>
    <w:rsid w:val="00100334"/>
    <w:rsid w:val="00100835"/>
    <w:rsid w:val="00100BEF"/>
    <w:rsid w:val="001015DE"/>
    <w:rsid w:val="0010273F"/>
    <w:rsid w:val="00102E7A"/>
    <w:rsid w:val="0010364A"/>
    <w:rsid w:val="00103C13"/>
    <w:rsid w:val="00103CDF"/>
    <w:rsid w:val="001049F2"/>
    <w:rsid w:val="00105299"/>
    <w:rsid w:val="00105315"/>
    <w:rsid w:val="0010531E"/>
    <w:rsid w:val="00105DE4"/>
    <w:rsid w:val="001061B7"/>
    <w:rsid w:val="00106256"/>
    <w:rsid w:val="00106472"/>
    <w:rsid w:val="001064A6"/>
    <w:rsid w:val="001068BD"/>
    <w:rsid w:val="001075AC"/>
    <w:rsid w:val="001075B7"/>
    <w:rsid w:val="001077E8"/>
    <w:rsid w:val="00107B00"/>
    <w:rsid w:val="00107BDD"/>
    <w:rsid w:val="0011017A"/>
    <w:rsid w:val="001101B9"/>
    <w:rsid w:val="001106E3"/>
    <w:rsid w:val="001108CE"/>
    <w:rsid w:val="00110FED"/>
    <w:rsid w:val="00111A8C"/>
    <w:rsid w:val="0011208A"/>
    <w:rsid w:val="00112638"/>
    <w:rsid w:val="00112659"/>
    <w:rsid w:val="00112823"/>
    <w:rsid w:val="001129FF"/>
    <w:rsid w:val="00113744"/>
    <w:rsid w:val="001138AA"/>
    <w:rsid w:val="00114259"/>
    <w:rsid w:val="00114529"/>
    <w:rsid w:val="00114730"/>
    <w:rsid w:val="00114786"/>
    <w:rsid w:val="00114817"/>
    <w:rsid w:val="00114B86"/>
    <w:rsid w:val="00114E70"/>
    <w:rsid w:val="00114F5A"/>
    <w:rsid w:val="0011593C"/>
    <w:rsid w:val="00115AEC"/>
    <w:rsid w:val="00115B1A"/>
    <w:rsid w:val="001166F3"/>
    <w:rsid w:val="001167EC"/>
    <w:rsid w:val="00116C9E"/>
    <w:rsid w:val="00116E13"/>
    <w:rsid w:val="00116F34"/>
    <w:rsid w:val="00117926"/>
    <w:rsid w:val="001179AC"/>
    <w:rsid w:val="001200B4"/>
    <w:rsid w:val="00120432"/>
    <w:rsid w:val="00120A40"/>
    <w:rsid w:val="00120A64"/>
    <w:rsid w:val="00120AEC"/>
    <w:rsid w:val="00120B59"/>
    <w:rsid w:val="00121178"/>
    <w:rsid w:val="00121688"/>
    <w:rsid w:val="00122282"/>
    <w:rsid w:val="00122298"/>
    <w:rsid w:val="00122638"/>
    <w:rsid w:val="00123667"/>
    <w:rsid w:val="00123900"/>
    <w:rsid w:val="00123D2C"/>
    <w:rsid w:val="001240C0"/>
    <w:rsid w:val="0012425C"/>
    <w:rsid w:val="0012462B"/>
    <w:rsid w:val="001253C0"/>
    <w:rsid w:val="00125EDB"/>
    <w:rsid w:val="001267BD"/>
    <w:rsid w:val="00126871"/>
    <w:rsid w:val="00126B20"/>
    <w:rsid w:val="00126D78"/>
    <w:rsid w:val="00126E10"/>
    <w:rsid w:val="00126EAB"/>
    <w:rsid w:val="00126F08"/>
    <w:rsid w:val="001270E2"/>
    <w:rsid w:val="00127490"/>
    <w:rsid w:val="001277D2"/>
    <w:rsid w:val="00127CB6"/>
    <w:rsid w:val="00127E91"/>
    <w:rsid w:val="00127F25"/>
    <w:rsid w:val="00130248"/>
    <w:rsid w:val="001308BC"/>
    <w:rsid w:val="00130918"/>
    <w:rsid w:val="00130AB5"/>
    <w:rsid w:val="00130F1A"/>
    <w:rsid w:val="00131049"/>
    <w:rsid w:val="001315A5"/>
    <w:rsid w:val="001318C2"/>
    <w:rsid w:val="00132423"/>
    <w:rsid w:val="0013263A"/>
    <w:rsid w:val="0013300D"/>
    <w:rsid w:val="001334C3"/>
    <w:rsid w:val="001335A8"/>
    <w:rsid w:val="00134C2C"/>
    <w:rsid w:val="00134EAE"/>
    <w:rsid w:val="00134FFB"/>
    <w:rsid w:val="001350D2"/>
    <w:rsid w:val="00136CF9"/>
    <w:rsid w:val="00136E5B"/>
    <w:rsid w:val="00137372"/>
    <w:rsid w:val="00137965"/>
    <w:rsid w:val="00140138"/>
    <w:rsid w:val="00140B68"/>
    <w:rsid w:val="00140D41"/>
    <w:rsid w:val="00140EDC"/>
    <w:rsid w:val="001413B9"/>
    <w:rsid w:val="0014163B"/>
    <w:rsid w:val="00141C82"/>
    <w:rsid w:val="00142129"/>
    <w:rsid w:val="001425B4"/>
    <w:rsid w:val="00142713"/>
    <w:rsid w:val="00142DA8"/>
    <w:rsid w:val="00142E99"/>
    <w:rsid w:val="00142EE9"/>
    <w:rsid w:val="001433C0"/>
    <w:rsid w:val="001436DA"/>
    <w:rsid w:val="00143CDC"/>
    <w:rsid w:val="00143D37"/>
    <w:rsid w:val="00143E76"/>
    <w:rsid w:val="00143FAD"/>
    <w:rsid w:val="001441D3"/>
    <w:rsid w:val="00144316"/>
    <w:rsid w:val="00144C82"/>
    <w:rsid w:val="00144F94"/>
    <w:rsid w:val="00145134"/>
    <w:rsid w:val="00145513"/>
    <w:rsid w:val="0014603D"/>
    <w:rsid w:val="00146143"/>
    <w:rsid w:val="00146E18"/>
    <w:rsid w:val="0014757F"/>
    <w:rsid w:val="001476BE"/>
    <w:rsid w:val="001476C5"/>
    <w:rsid w:val="00147B57"/>
    <w:rsid w:val="00150012"/>
    <w:rsid w:val="001500E5"/>
    <w:rsid w:val="0015038C"/>
    <w:rsid w:val="00150978"/>
    <w:rsid w:val="00150DF8"/>
    <w:rsid w:val="00150E1C"/>
    <w:rsid w:val="001511F4"/>
    <w:rsid w:val="001511F7"/>
    <w:rsid w:val="00151576"/>
    <w:rsid w:val="00151D0A"/>
    <w:rsid w:val="00152185"/>
    <w:rsid w:val="001526F0"/>
    <w:rsid w:val="00152B0A"/>
    <w:rsid w:val="00152C0C"/>
    <w:rsid w:val="00153627"/>
    <w:rsid w:val="00153918"/>
    <w:rsid w:val="00153AB9"/>
    <w:rsid w:val="00153F42"/>
    <w:rsid w:val="00154219"/>
    <w:rsid w:val="001542AF"/>
    <w:rsid w:val="0015484D"/>
    <w:rsid w:val="00154A5F"/>
    <w:rsid w:val="001556EB"/>
    <w:rsid w:val="00155D8A"/>
    <w:rsid w:val="00155D9A"/>
    <w:rsid w:val="0015609C"/>
    <w:rsid w:val="001562A2"/>
    <w:rsid w:val="001564F1"/>
    <w:rsid w:val="00156ACA"/>
    <w:rsid w:val="00156DC9"/>
    <w:rsid w:val="001574B4"/>
    <w:rsid w:val="00160463"/>
    <w:rsid w:val="0016053E"/>
    <w:rsid w:val="00160789"/>
    <w:rsid w:val="00160A79"/>
    <w:rsid w:val="00161199"/>
    <w:rsid w:val="001612F2"/>
    <w:rsid w:val="00161553"/>
    <w:rsid w:val="0016180A"/>
    <w:rsid w:val="00161C96"/>
    <w:rsid w:val="00161EB3"/>
    <w:rsid w:val="00161FED"/>
    <w:rsid w:val="00162754"/>
    <w:rsid w:val="001628FD"/>
    <w:rsid w:val="00162945"/>
    <w:rsid w:val="00162CBB"/>
    <w:rsid w:val="00162DBE"/>
    <w:rsid w:val="00163327"/>
    <w:rsid w:val="00163983"/>
    <w:rsid w:val="00163B21"/>
    <w:rsid w:val="00163E58"/>
    <w:rsid w:val="00163FC8"/>
    <w:rsid w:val="0016447D"/>
    <w:rsid w:val="00164CE4"/>
    <w:rsid w:val="00165A91"/>
    <w:rsid w:val="00165D4E"/>
    <w:rsid w:val="00165FF3"/>
    <w:rsid w:val="001660EE"/>
    <w:rsid w:val="00167917"/>
    <w:rsid w:val="0016791F"/>
    <w:rsid w:val="00167C69"/>
    <w:rsid w:val="00167F2A"/>
    <w:rsid w:val="00167F5B"/>
    <w:rsid w:val="00170E33"/>
    <w:rsid w:val="00171AB2"/>
    <w:rsid w:val="00171C5C"/>
    <w:rsid w:val="00171D45"/>
    <w:rsid w:val="00172322"/>
    <w:rsid w:val="0017248F"/>
    <w:rsid w:val="00172A00"/>
    <w:rsid w:val="00172EA1"/>
    <w:rsid w:val="00173EFF"/>
    <w:rsid w:val="001740A4"/>
    <w:rsid w:val="0017441B"/>
    <w:rsid w:val="001744E7"/>
    <w:rsid w:val="00174778"/>
    <w:rsid w:val="00174A20"/>
    <w:rsid w:val="00174A88"/>
    <w:rsid w:val="00174BA3"/>
    <w:rsid w:val="0017601B"/>
    <w:rsid w:val="001762F4"/>
    <w:rsid w:val="0017742D"/>
    <w:rsid w:val="001776B8"/>
    <w:rsid w:val="00177B1F"/>
    <w:rsid w:val="00177BEA"/>
    <w:rsid w:val="00177DBC"/>
    <w:rsid w:val="00177FBC"/>
    <w:rsid w:val="0018048F"/>
    <w:rsid w:val="001809BD"/>
    <w:rsid w:val="00180D8C"/>
    <w:rsid w:val="00180F6E"/>
    <w:rsid w:val="0018109B"/>
    <w:rsid w:val="001819DE"/>
    <w:rsid w:val="00181A71"/>
    <w:rsid w:val="00181BB6"/>
    <w:rsid w:val="00181EBB"/>
    <w:rsid w:val="0018210A"/>
    <w:rsid w:val="0018239A"/>
    <w:rsid w:val="001823E9"/>
    <w:rsid w:val="00182914"/>
    <w:rsid w:val="00182E4E"/>
    <w:rsid w:val="00183941"/>
    <w:rsid w:val="00183AB4"/>
    <w:rsid w:val="00183DB9"/>
    <w:rsid w:val="00183E27"/>
    <w:rsid w:val="00184032"/>
    <w:rsid w:val="001840F6"/>
    <w:rsid w:val="00184DA5"/>
    <w:rsid w:val="00184E08"/>
    <w:rsid w:val="0018533F"/>
    <w:rsid w:val="00185465"/>
    <w:rsid w:val="00185CD7"/>
    <w:rsid w:val="001860AC"/>
    <w:rsid w:val="00186980"/>
    <w:rsid w:val="00186C2F"/>
    <w:rsid w:val="00187781"/>
    <w:rsid w:val="00190D68"/>
    <w:rsid w:val="00191850"/>
    <w:rsid w:val="00191D31"/>
    <w:rsid w:val="0019243D"/>
    <w:rsid w:val="0019327C"/>
    <w:rsid w:val="001936A5"/>
    <w:rsid w:val="001938DD"/>
    <w:rsid w:val="0019395F"/>
    <w:rsid w:val="00193F60"/>
    <w:rsid w:val="00194062"/>
    <w:rsid w:val="001941B0"/>
    <w:rsid w:val="001947C8"/>
    <w:rsid w:val="00194A23"/>
    <w:rsid w:val="00194B4C"/>
    <w:rsid w:val="00194BC1"/>
    <w:rsid w:val="00195126"/>
    <w:rsid w:val="0019515A"/>
    <w:rsid w:val="0019524F"/>
    <w:rsid w:val="0019627E"/>
    <w:rsid w:val="001962C2"/>
    <w:rsid w:val="0019642A"/>
    <w:rsid w:val="00196FE2"/>
    <w:rsid w:val="001978B7"/>
    <w:rsid w:val="001979F7"/>
    <w:rsid w:val="00197F50"/>
    <w:rsid w:val="001A035A"/>
    <w:rsid w:val="001A04BE"/>
    <w:rsid w:val="001A05A2"/>
    <w:rsid w:val="001A065B"/>
    <w:rsid w:val="001A0A2D"/>
    <w:rsid w:val="001A0C05"/>
    <w:rsid w:val="001A1ACA"/>
    <w:rsid w:val="001A1DFD"/>
    <w:rsid w:val="001A1E97"/>
    <w:rsid w:val="001A29FB"/>
    <w:rsid w:val="001A2F9C"/>
    <w:rsid w:val="001A3471"/>
    <w:rsid w:val="001A3D5A"/>
    <w:rsid w:val="001A3F10"/>
    <w:rsid w:val="001A400B"/>
    <w:rsid w:val="001A45CA"/>
    <w:rsid w:val="001A46A7"/>
    <w:rsid w:val="001A4848"/>
    <w:rsid w:val="001A4C6D"/>
    <w:rsid w:val="001A4E2C"/>
    <w:rsid w:val="001A59DF"/>
    <w:rsid w:val="001A5B59"/>
    <w:rsid w:val="001A5CA2"/>
    <w:rsid w:val="001A62ED"/>
    <w:rsid w:val="001A67EE"/>
    <w:rsid w:val="001A6BC3"/>
    <w:rsid w:val="001A71CF"/>
    <w:rsid w:val="001A74C9"/>
    <w:rsid w:val="001A74CA"/>
    <w:rsid w:val="001B0131"/>
    <w:rsid w:val="001B025D"/>
    <w:rsid w:val="001B0DE6"/>
    <w:rsid w:val="001B0E5A"/>
    <w:rsid w:val="001B1A91"/>
    <w:rsid w:val="001B1C3A"/>
    <w:rsid w:val="001B219E"/>
    <w:rsid w:val="001B21F9"/>
    <w:rsid w:val="001B27A3"/>
    <w:rsid w:val="001B2B1D"/>
    <w:rsid w:val="001B373A"/>
    <w:rsid w:val="001B3D55"/>
    <w:rsid w:val="001B3ED3"/>
    <w:rsid w:val="001B4158"/>
    <w:rsid w:val="001B427B"/>
    <w:rsid w:val="001B4597"/>
    <w:rsid w:val="001B4C34"/>
    <w:rsid w:val="001B4D22"/>
    <w:rsid w:val="001B4D2B"/>
    <w:rsid w:val="001B4EB7"/>
    <w:rsid w:val="001B4F94"/>
    <w:rsid w:val="001B516D"/>
    <w:rsid w:val="001B5297"/>
    <w:rsid w:val="001B535E"/>
    <w:rsid w:val="001B5564"/>
    <w:rsid w:val="001B578F"/>
    <w:rsid w:val="001B5982"/>
    <w:rsid w:val="001B5E41"/>
    <w:rsid w:val="001B5E5A"/>
    <w:rsid w:val="001B6631"/>
    <w:rsid w:val="001B6822"/>
    <w:rsid w:val="001B76CC"/>
    <w:rsid w:val="001C03FF"/>
    <w:rsid w:val="001C053D"/>
    <w:rsid w:val="001C05C8"/>
    <w:rsid w:val="001C23CC"/>
    <w:rsid w:val="001C2719"/>
    <w:rsid w:val="001C28F4"/>
    <w:rsid w:val="001C2D71"/>
    <w:rsid w:val="001C358E"/>
    <w:rsid w:val="001C35DE"/>
    <w:rsid w:val="001C3838"/>
    <w:rsid w:val="001C3CA4"/>
    <w:rsid w:val="001C4173"/>
    <w:rsid w:val="001C4605"/>
    <w:rsid w:val="001C460D"/>
    <w:rsid w:val="001C58F0"/>
    <w:rsid w:val="001C5D69"/>
    <w:rsid w:val="001C60F2"/>
    <w:rsid w:val="001C6769"/>
    <w:rsid w:val="001C7216"/>
    <w:rsid w:val="001C7956"/>
    <w:rsid w:val="001CA3CA"/>
    <w:rsid w:val="001D05BA"/>
    <w:rsid w:val="001D0B3C"/>
    <w:rsid w:val="001D0FAA"/>
    <w:rsid w:val="001D1118"/>
    <w:rsid w:val="001D1236"/>
    <w:rsid w:val="001D1670"/>
    <w:rsid w:val="001D2A4D"/>
    <w:rsid w:val="001D3324"/>
    <w:rsid w:val="001D39E8"/>
    <w:rsid w:val="001D3F88"/>
    <w:rsid w:val="001D48EF"/>
    <w:rsid w:val="001D4C93"/>
    <w:rsid w:val="001D4E2C"/>
    <w:rsid w:val="001D5445"/>
    <w:rsid w:val="001D558D"/>
    <w:rsid w:val="001D5AAF"/>
    <w:rsid w:val="001D5B11"/>
    <w:rsid w:val="001D613B"/>
    <w:rsid w:val="001D6142"/>
    <w:rsid w:val="001D6564"/>
    <w:rsid w:val="001D6796"/>
    <w:rsid w:val="001D6ABB"/>
    <w:rsid w:val="001D6B3B"/>
    <w:rsid w:val="001D6CB2"/>
    <w:rsid w:val="001D6E69"/>
    <w:rsid w:val="001E0BA6"/>
    <w:rsid w:val="001E0EE0"/>
    <w:rsid w:val="001E0F33"/>
    <w:rsid w:val="001E116C"/>
    <w:rsid w:val="001E11A3"/>
    <w:rsid w:val="001E1267"/>
    <w:rsid w:val="001E1453"/>
    <w:rsid w:val="001E1730"/>
    <w:rsid w:val="001E1A6F"/>
    <w:rsid w:val="001E1E5A"/>
    <w:rsid w:val="001E2101"/>
    <w:rsid w:val="001E2247"/>
    <w:rsid w:val="001E2F1A"/>
    <w:rsid w:val="001E33AF"/>
    <w:rsid w:val="001E40B8"/>
    <w:rsid w:val="001E44BB"/>
    <w:rsid w:val="001E4504"/>
    <w:rsid w:val="001E4533"/>
    <w:rsid w:val="001E5405"/>
    <w:rsid w:val="001E56CF"/>
    <w:rsid w:val="001E5ED0"/>
    <w:rsid w:val="001E64B5"/>
    <w:rsid w:val="001E66D1"/>
    <w:rsid w:val="001E68CE"/>
    <w:rsid w:val="001E6BA3"/>
    <w:rsid w:val="001E71B6"/>
    <w:rsid w:val="001E7CED"/>
    <w:rsid w:val="001E7E7E"/>
    <w:rsid w:val="001F02FC"/>
    <w:rsid w:val="001F0517"/>
    <w:rsid w:val="001F0ADC"/>
    <w:rsid w:val="001F0D05"/>
    <w:rsid w:val="001F1162"/>
    <w:rsid w:val="001F1775"/>
    <w:rsid w:val="001F2527"/>
    <w:rsid w:val="001F2530"/>
    <w:rsid w:val="001F2598"/>
    <w:rsid w:val="001F298B"/>
    <w:rsid w:val="001F31F6"/>
    <w:rsid w:val="001F32EB"/>
    <w:rsid w:val="001F4508"/>
    <w:rsid w:val="001F461E"/>
    <w:rsid w:val="001F49CD"/>
    <w:rsid w:val="001F4C90"/>
    <w:rsid w:val="001F5B19"/>
    <w:rsid w:val="001F5E8F"/>
    <w:rsid w:val="001F62D7"/>
    <w:rsid w:val="001F6628"/>
    <w:rsid w:val="001F6DF0"/>
    <w:rsid w:val="001F785B"/>
    <w:rsid w:val="001F7D05"/>
    <w:rsid w:val="00201CE4"/>
    <w:rsid w:val="002026A8"/>
    <w:rsid w:val="00202C91"/>
    <w:rsid w:val="0020339F"/>
    <w:rsid w:val="00203C53"/>
    <w:rsid w:val="00203FD3"/>
    <w:rsid w:val="00204F5E"/>
    <w:rsid w:val="002055BB"/>
    <w:rsid w:val="002056A6"/>
    <w:rsid w:val="002061D8"/>
    <w:rsid w:val="00206DB1"/>
    <w:rsid w:val="00206F1F"/>
    <w:rsid w:val="0020704D"/>
    <w:rsid w:val="002073A0"/>
    <w:rsid w:val="00207CCD"/>
    <w:rsid w:val="00207FD1"/>
    <w:rsid w:val="002103C6"/>
    <w:rsid w:val="00210591"/>
    <w:rsid w:val="002116E0"/>
    <w:rsid w:val="00211832"/>
    <w:rsid w:val="00211A9C"/>
    <w:rsid w:val="00211D13"/>
    <w:rsid w:val="00212621"/>
    <w:rsid w:val="00212938"/>
    <w:rsid w:val="00212B9B"/>
    <w:rsid w:val="00212EBD"/>
    <w:rsid w:val="00212F1F"/>
    <w:rsid w:val="0021375B"/>
    <w:rsid w:val="002140A4"/>
    <w:rsid w:val="002141ED"/>
    <w:rsid w:val="00214264"/>
    <w:rsid w:val="002148E7"/>
    <w:rsid w:val="00215279"/>
    <w:rsid w:val="00215C45"/>
    <w:rsid w:val="00215F46"/>
    <w:rsid w:val="00216336"/>
    <w:rsid w:val="00216751"/>
    <w:rsid w:val="00216803"/>
    <w:rsid w:val="0021689F"/>
    <w:rsid w:val="0021740B"/>
    <w:rsid w:val="0021798B"/>
    <w:rsid w:val="00217A17"/>
    <w:rsid w:val="00217E31"/>
    <w:rsid w:val="002200AC"/>
    <w:rsid w:val="0022051D"/>
    <w:rsid w:val="0022062F"/>
    <w:rsid w:val="00220667"/>
    <w:rsid w:val="00221584"/>
    <w:rsid w:val="00221800"/>
    <w:rsid w:val="0022186F"/>
    <w:rsid w:val="002221E1"/>
    <w:rsid w:val="002223BC"/>
    <w:rsid w:val="0022261E"/>
    <w:rsid w:val="002243B7"/>
    <w:rsid w:val="00224D2D"/>
    <w:rsid w:val="00225017"/>
    <w:rsid w:val="0022585A"/>
    <w:rsid w:val="00225E50"/>
    <w:rsid w:val="0022690D"/>
    <w:rsid w:val="00226962"/>
    <w:rsid w:val="00226AA1"/>
    <w:rsid w:val="00226B56"/>
    <w:rsid w:val="00226F1B"/>
    <w:rsid w:val="00227217"/>
    <w:rsid w:val="0022748D"/>
    <w:rsid w:val="00227917"/>
    <w:rsid w:val="002279DB"/>
    <w:rsid w:val="002279EB"/>
    <w:rsid w:val="00227BA2"/>
    <w:rsid w:val="00227D01"/>
    <w:rsid w:val="002301B4"/>
    <w:rsid w:val="0023055F"/>
    <w:rsid w:val="0023064D"/>
    <w:rsid w:val="00230962"/>
    <w:rsid w:val="00231A93"/>
    <w:rsid w:val="00232362"/>
    <w:rsid w:val="0023283B"/>
    <w:rsid w:val="00232A94"/>
    <w:rsid w:val="00232BBC"/>
    <w:rsid w:val="0023318C"/>
    <w:rsid w:val="002332B0"/>
    <w:rsid w:val="002338BE"/>
    <w:rsid w:val="00233A9A"/>
    <w:rsid w:val="00233B5D"/>
    <w:rsid w:val="00233CF7"/>
    <w:rsid w:val="002342B3"/>
    <w:rsid w:val="00234552"/>
    <w:rsid w:val="00234EAC"/>
    <w:rsid w:val="00235AF6"/>
    <w:rsid w:val="00235C06"/>
    <w:rsid w:val="00235EC6"/>
    <w:rsid w:val="0023672A"/>
    <w:rsid w:val="00236B58"/>
    <w:rsid w:val="00236CD1"/>
    <w:rsid w:val="00236FA8"/>
    <w:rsid w:val="002370A3"/>
    <w:rsid w:val="0023776A"/>
    <w:rsid w:val="00237CDE"/>
    <w:rsid w:val="00240274"/>
    <w:rsid w:val="00240760"/>
    <w:rsid w:val="00240FDA"/>
    <w:rsid w:val="0024138E"/>
    <w:rsid w:val="00241B83"/>
    <w:rsid w:val="00241C3F"/>
    <w:rsid w:val="002421DB"/>
    <w:rsid w:val="002422C0"/>
    <w:rsid w:val="00242593"/>
    <w:rsid w:val="0024272F"/>
    <w:rsid w:val="002432CB"/>
    <w:rsid w:val="00243421"/>
    <w:rsid w:val="00243429"/>
    <w:rsid w:val="00243663"/>
    <w:rsid w:val="00243887"/>
    <w:rsid w:val="00243B5C"/>
    <w:rsid w:val="002442D8"/>
    <w:rsid w:val="00244F22"/>
    <w:rsid w:val="00245645"/>
    <w:rsid w:val="002458BC"/>
    <w:rsid w:val="00245CC3"/>
    <w:rsid w:val="00246169"/>
    <w:rsid w:val="0024663E"/>
    <w:rsid w:val="0024694D"/>
    <w:rsid w:val="00246F1B"/>
    <w:rsid w:val="002472E9"/>
    <w:rsid w:val="002473E5"/>
    <w:rsid w:val="00247796"/>
    <w:rsid w:val="00247B36"/>
    <w:rsid w:val="00247E55"/>
    <w:rsid w:val="0025044A"/>
    <w:rsid w:val="002504C1"/>
    <w:rsid w:val="00250C1C"/>
    <w:rsid w:val="00250FB3"/>
    <w:rsid w:val="0025117F"/>
    <w:rsid w:val="002511D7"/>
    <w:rsid w:val="0025148D"/>
    <w:rsid w:val="00251731"/>
    <w:rsid w:val="002518F0"/>
    <w:rsid w:val="00251A2B"/>
    <w:rsid w:val="0025240A"/>
    <w:rsid w:val="002526FA"/>
    <w:rsid w:val="00252B22"/>
    <w:rsid w:val="002535B7"/>
    <w:rsid w:val="0025399F"/>
    <w:rsid w:val="00253A7F"/>
    <w:rsid w:val="00253B19"/>
    <w:rsid w:val="00253D9A"/>
    <w:rsid w:val="0025496D"/>
    <w:rsid w:val="00254B0C"/>
    <w:rsid w:val="00254EB4"/>
    <w:rsid w:val="00254FA7"/>
    <w:rsid w:val="0025573F"/>
    <w:rsid w:val="00255D09"/>
    <w:rsid w:val="00255E32"/>
    <w:rsid w:val="00256073"/>
    <w:rsid w:val="00256E39"/>
    <w:rsid w:val="00256EC1"/>
    <w:rsid w:val="00257138"/>
    <w:rsid w:val="002571A1"/>
    <w:rsid w:val="00257356"/>
    <w:rsid w:val="00257485"/>
    <w:rsid w:val="002578BA"/>
    <w:rsid w:val="002612D3"/>
    <w:rsid w:val="00261AE1"/>
    <w:rsid w:val="00261D6C"/>
    <w:rsid w:val="00262257"/>
    <w:rsid w:val="0026257E"/>
    <w:rsid w:val="002625B4"/>
    <w:rsid w:val="0026291D"/>
    <w:rsid w:val="00263467"/>
    <w:rsid w:val="002636A2"/>
    <w:rsid w:val="002638D9"/>
    <w:rsid w:val="00263EAD"/>
    <w:rsid w:val="00264780"/>
    <w:rsid w:val="00264E9F"/>
    <w:rsid w:val="00265228"/>
    <w:rsid w:val="00265507"/>
    <w:rsid w:val="0026724F"/>
    <w:rsid w:val="00267324"/>
    <w:rsid w:val="00267530"/>
    <w:rsid w:val="00267563"/>
    <w:rsid w:val="00267654"/>
    <w:rsid w:val="0026785A"/>
    <w:rsid w:val="00267CFC"/>
    <w:rsid w:val="0027036B"/>
    <w:rsid w:val="00270542"/>
    <w:rsid w:val="002707F4"/>
    <w:rsid w:val="00270B82"/>
    <w:rsid w:val="00270C90"/>
    <w:rsid w:val="002712BE"/>
    <w:rsid w:val="0027179A"/>
    <w:rsid w:val="00271AED"/>
    <w:rsid w:val="00271D10"/>
    <w:rsid w:val="00271FAD"/>
    <w:rsid w:val="00272027"/>
    <w:rsid w:val="00272041"/>
    <w:rsid w:val="00272394"/>
    <w:rsid w:val="00272AD7"/>
    <w:rsid w:val="002731C3"/>
    <w:rsid w:val="002735D5"/>
    <w:rsid w:val="00273638"/>
    <w:rsid w:val="00273DD2"/>
    <w:rsid w:val="0027440F"/>
    <w:rsid w:val="00274728"/>
    <w:rsid w:val="00274793"/>
    <w:rsid w:val="002748BE"/>
    <w:rsid w:val="002750B0"/>
    <w:rsid w:val="00275636"/>
    <w:rsid w:val="00275ACD"/>
    <w:rsid w:val="00275AED"/>
    <w:rsid w:val="00275B3C"/>
    <w:rsid w:val="00275D7D"/>
    <w:rsid w:val="00276F0E"/>
    <w:rsid w:val="002772D7"/>
    <w:rsid w:val="002772DC"/>
    <w:rsid w:val="00277352"/>
    <w:rsid w:val="00277915"/>
    <w:rsid w:val="0028045A"/>
    <w:rsid w:val="00281195"/>
    <w:rsid w:val="0028175A"/>
    <w:rsid w:val="00281A3C"/>
    <w:rsid w:val="00281D1B"/>
    <w:rsid w:val="00281D71"/>
    <w:rsid w:val="002825ED"/>
    <w:rsid w:val="0028262C"/>
    <w:rsid w:val="002826D1"/>
    <w:rsid w:val="002828A7"/>
    <w:rsid w:val="00283342"/>
    <w:rsid w:val="0028447A"/>
    <w:rsid w:val="00284AED"/>
    <w:rsid w:val="00285092"/>
    <w:rsid w:val="0028515B"/>
    <w:rsid w:val="002852CA"/>
    <w:rsid w:val="002852D2"/>
    <w:rsid w:val="00285302"/>
    <w:rsid w:val="00286843"/>
    <w:rsid w:val="002873D1"/>
    <w:rsid w:val="002877C5"/>
    <w:rsid w:val="00287871"/>
    <w:rsid w:val="0029009E"/>
    <w:rsid w:val="0029040A"/>
    <w:rsid w:val="00290952"/>
    <w:rsid w:val="00290E23"/>
    <w:rsid w:val="0029157B"/>
    <w:rsid w:val="00291798"/>
    <w:rsid w:val="00291E96"/>
    <w:rsid w:val="002922C7"/>
    <w:rsid w:val="002925F0"/>
    <w:rsid w:val="00292EB0"/>
    <w:rsid w:val="00292F30"/>
    <w:rsid w:val="00293B16"/>
    <w:rsid w:val="002941F0"/>
    <w:rsid w:val="0029429E"/>
    <w:rsid w:val="002943C6"/>
    <w:rsid w:val="0029446C"/>
    <w:rsid w:val="00294714"/>
    <w:rsid w:val="002947D3"/>
    <w:rsid w:val="0029485B"/>
    <w:rsid w:val="00294F18"/>
    <w:rsid w:val="00294FF3"/>
    <w:rsid w:val="002953D0"/>
    <w:rsid w:val="00295874"/>
    <w:rsid w:val="00295BD2"/>
    <w:rsid w:val="00295DB6"/>
    <w:rsid w:val="00295E92"/>
    <w:rsid w:val="00295F06"/>
    <w:rsid w:val="00296906"/>
    <w:rsid w:val="0029695D"/>
    <w:rsid w:val="00296FDE"/>
    <w:rsid w:val="00297194"/>
    <w:rsid w:val="00297B6B"/>
    <w:rsid w:val="002A0060"/>
    <w:rsid w:val="002A03A3"/>
    <w:rsid w:val="002A160A"/>
    <w:rsid w:val="002A1653"/>
    <w:rsid w:val="002A3239"/>
    <w:rsid w:val="002A3C70"/>
    <w:rsid w:val="002A3E87"/>
    <w:rsid w:val="002A4301"/>
    <w:rsid w:val="002A4A24"/>
    <w:rsid w:val="002A53CA"/>
    <w:rsid w:val="002A5E6C"/>
    <w:rsid w:val="002A61C4"/>
    <w:rsid w:val="002A6416"/>
    <w:rsid w:val="002A676E"/>
    <w:rsid w:val="002A67CC"/>
    <w:rsid w:val="002A6BD5"/>
    <w:rsid w:val="002A6C3E"/>
    <w:rsid w:val="002A7614"/>
    <w:rsid w:val="002A76D1"/>
    <w:rsid w:val="002A7B1E"/>
    <w:rsid w:val="002A7BA6"/>
    <w:rsid w:val="002A7E15"/>
    <w:rsid w:val="002AF8DB"/>
    <w:rsid w:val="002B0B44"/>
    <w:rsid w:val="002B0DD5"/>
    <w:rsid w:val="002B0E71"/>
    <w:rsid w:val="002B1015"/>
    <w:rsid w:val="002B1419"/>
    <w:rsid w:val="002B1DC4"/>
    <w:rsid w:val="002B21BD"/>
    <w:rsid w:val="002B2242"/>
    <w:rsid w:val="002B29A3"/>
    <w:rsid w:val="002B2CDA"/>
    <w:rsid w:val="002B2DE1"/>
    <w:rsid w:val="002B364E"/>
    <w:rsid w:val="002B37E8"/>
    <w:rsid w:val="002B37EB"/>
    <w:rsid w:val="002B3AEE"/>
    <w:rsid w:val="002B456D"/>
    <w:rsid w:val="002B4B09"/>
    <w:rsid w:val="002B4CDD"/>
    <w:rsid w:val="002B5C92"/>
    <w:rsid w:val="002B5F44"/>
    <w:rsid w:val="002B6515"/>
    <w:rsid w:val="002B655D"/>
    <w:rsid w:val="002B6B50"/>
    <w:rsid w:val="002B72DA"/>
    <w:rsid w:val="002B74C6"/>
    <w:rsid w:val="002B7C44"/>
    <w:rsid w:val="002B7C92"/>
    <w:rsid w:val="002B7D73"/>
    <w:rsid w:val="002C06B0"/>
    <w:rsid w:val="002C0968"/>
    <w:rsid w:val="002C0D94"/>
    <w:rsid w:val="002C0D97"/>
    <w:rsid w:val="002C1AF3"/>
    <w:rsid w:val="002C2201"/>
    <w:rsid w:val="002C2EBA"/>
    <w:rsid w:val="002C2EC4"/>
    <w:rsid w:val="002C3098"/>
    <w:rsid w:val="002C31AD"/>
    <w:rsid w:val="002C388A"/>
    <w:rsid w:val="002C3C77"/>
    <w:rsid w:val="002C4112"/>
    <w:rsid w:val="002C4833"/>
    <w:rsid w:val="002C4A90"/>
    <w:rsid w:val="002C50C3"/>
    <w:rsid w:val="002C5658"/>
    <w:rsid w:val="002C5696"/>
    <w:rsid w:val="002C56F8"/>
    <w:rsid w:val="002C600B"/>
    <w:rsid w:val="002C6496"/>
    <w:rsid w:val="002C6DF4"/>
    <w:rsid w:val="002C74EB"/>
    <w:rsid w:val="002C7528"/>
    <w:rsid w:val="002D065E"/>
    <w:rsid w:val="002D06F4"/>
    <w:rsid w:val="002D077E"/>
    <w:rsid w:val="002D0DAE"/>
    <w:rsid w:val="002D0E1D"/>
    <w:rsid w:val="002D0E5A"/>
    <w:rsid w:val="002D1266"/>
    <w:rsid w:val="002D1315"/>
    <w:rsid w:val="002D17F7"/>
    <w:rsid w:val="002D203B"/>
    <w:rsid w:val="002D2576"/>
    <w:rsid w:val="002D2628"/>
    <w:rsid w:val="002D2CFD"/>
    <w:rsid w:val="002D3810"/>
    <w:rsid w:val="002D40F6"/>
    <w:rsid w:val="002D4337"/>
    <w:rsid w:val="002D47A2"/>
    <w:rsid w:val="002D4801"/>
    <w:rsid w:val="002D4CD8"/>
    <w:rsid w:val="002D52D5"/>
    <w:rsid w:val="002D54B4"/>
    <w:rsid w:val="002D5813"/>
    <w:rsid w:val="002D5B14"/>
    <w:rsid w:val="002D5E5A"/>
    <w:rsid w:val="002D6980"/>
    <w:rsid w:val="002D69C4"/>
    <w:rsid w:val="002D70DB"/>
    <w:rsid w:val="002D7212"/>
    <w:rsid w:val="002D73E7"/>
    <w:rsid w:val="002D76CC"/>
    <w:rsid w:val="002D780A"/>
    <w:rsid w:val="002E07E4"/>
    <w:rsid w:val="002E0D8C"/>
    <w:rsid w:val="002E16B9"/>
    <w:rsid w:val="002E1790"/>
    <w:rsid w:val="002E1E31"/>
    <w:rsid w:val="002E2893"/>
    <w:rsid w:val="002E294C"/>
    <w:rsid w:val="002E2DF9"/>
    <w:rsid w:val="002E3832"/>
    <w:rsid w:val="002E3925"/>
    <w:rsid w:val="002E3DF1"/>
    <w:rsid w:val="002E3FEF"/>
    <w:rsid w:val="002E42F9"/>
    <w:rsid w:val="002E47B2"/>
    <w:rsid w:val="002E489E"/>
    <w:rsid w:val="002E4AE8"/>
    <w:rsid w:val="002E50D7"/>
    <w:rsid w:val="002E5155"/>
    <w:rsid w:val="002E5AB6"/>
    <w:rsid w:val="002E62DC"/>
    <w:rsid w:val="002E6709"/>
    <w:rsid w:val="002E674D"/>
    <w:rsid w:val="002E69D8"/>
    <w:rsid w:val="002E6C78"/>
    <w:rsid w:val="002E6D18"/>
    <w:rsid w:val="002E7121"/>
    <w:rsid w:val="002E76F4"/>
    <w:rsid w:val="002E7B9D"/>
    <w:rsid w:val="002E7F2F"/>
    <w:rsid w:val="002F03AC"/>
    <w:rsid w:val="002F080F"/>
    <w:rsid w:val="002F0F66"/>
    <w:rsid w:val="002F1190"/>
    <w:rsid w:val="002F187E"/>
    <w:rsid w:val="002F1A0C"/>
    <w:rsid w:val="002F2269"/>
    <w:rsid w:val="002F2514"/>
    <w:rsid w:val="002F2825"/>
    <w:rsid w:val="002F2931"/>
    <w:rsid w:val="002F2A37"/>
    <w:rsid w:val="002F2E3F"/>
    <w:rsid w:val="002F32E0"/>
    <w:rsid w:val="002F33F9"/>
    <w:rsid w:val="002F3F32"/>
    <w:rsid w:val="002F40DE"/>
    <w:rsid w:val="002F4208"/>
    <w:rsid w:val="002F4262"/>
    <w:rsid w:val="002F4EEA"/>
    <w:rsid w:val="002F57A5"/>
    <w:rsid w:val="002F57FE"/>
    <w:rsid w:val="002F58FF"/>
    <w:rsid w:val="002F5FE4"/>
    <w:rsid w:val="002F6547"/>
    <w:rsid w:val="002F677A"/>
    <w:rsid w:val="002F6A9F"/>
    <w:rsid w:val="002F6D7C"/>
    <w:rsid w:val="002F7338"/>
    <w:rsid w:val="002F73D1"/>
    <w:rsid w:val="002F75F3"/>
    <w:rsid w:val="002F765E"/>
    <w:rsid w:val="002F77EA"/>
    <w:rsid w:val="002F78A4"/>
    <w:rsid w:val="00300BC1"/>
    <w:rsid w:val="003010AD"/>
    <w:rsid w:val="003015BB"/>
    <w:rsid w:val="00301786"/>
    <w:rsid w:val="003018BF"/>
    <w:rsid w:val="00301E05"/>
    <w:rsid w:val="0030245A"/>
    <w:rsid w:val="003026D8"/>
    <w:rsid w:val="0030296D"/>
    <w:rsid w:val="00302D9B"/>
    <w:rsid w:val="00302EE7"/>
    <w:rsid w:val="00302FA1"/>
    <w:rsid w:val="0030364C"/>
    <w:rsid w:val="003039B6"/>
    <w:rsid w:val="00304B21"/>
    <w:rsid w:val="00304D79"/>
    <w:rsid w:val="00304FF1"/>
    <w:rsid w:val="003050C1"/>
    <w:rsid w:val="00305B7A"/>
    <w:rsid w:val="00305F16"/>
    <w:rsid w:val="00306329"/>
    <w:rsid w:val="00306814"/>
    <w:rsid w:val="00306E53"/>
    <w:rsid w:val="003077C8"/>
    <w:rsid w:val="00310A49"/>
    <w:rsid w:val="00310CF4"/>
    <w:rsid w:val="00310FEC"/>
    <w:rsid w:val="003110C1"/>
    <w:rsid w:val="00311FDF"/>
    <w:rsid w:val="0031298C"/>
    <w:rsid w:val="00313200"/>
    <w:rsid w:val="0031336C"/>
    <w:rsid w:val="0031364E"/>
    <w:rsid w:val="00313695"/>
    <w:rsid w:val="00313AEF"/>
    <w:rsid w:val="00313B72"/>
    <w:rsid w:val="0031416B"/>
    <w:rsid w:val="003149DA"/>
    <w:rsid w:val="00314AC7"/>
    <w:rsid w:val="00315B8D"/>
    <w:rsid w:val="0031637B"/>
    <w:rsid w:val="00316660"/>
    <w:rsid w:val="00317210"/>
    <w:rsid w:val="0031770F"/>
    <w:rsid w:val="00317C80"/>
    <w:rsid w:val="003205F3"/>
    <w:rsid w:val="00320652"/>
    <w:rsid w:val="003207D0"/>
    <w:rsid w:val="00320B59"/>
    <w:rsid w:val="00320D44"/>
    <w:rsid w:val="00321FB9"/>
    <w:rsid w:val="0032212D"/>
    <w:rsid w:val="0032232F"/>
    <w:rsid w:val="00322706"/>
    <w:rsid w:val="00322720"/>
    <w:rsid w:val="00322827"/>
    <w:rsid w:val="00323A1F"/>
    <w:rsid w:val="003240D4"/>
    <w:rsid w:val="003257C5"/>
    <w:rsid w:val="003259A7"/>
    <w:rsid w:val="00326EA1"/>
    <w:rsid w:val="00326ED1"/>
    <w:rsid w:val="00327441"/>
    <w:rsid w:val="003274CA"/>
    <w:rsid w:val="003308E6"/>
    <w:rsid w:val="00330FE9"/>
    <w:rsid w:val="00331A9C"/>
    <w:rsid w:val="003325F1"/>
    <w:rsid w:val="00332946"/>
    <w:rsid w:val="00332EA6"/>
    <w:rsid w:val="0033302D"/>
    <w:rsid w:val="00333587"/>
    <w:rsid w:val="00333617"/>
    <w:rsid w:val="00334DD1"/>
    <w:rsid w:val="00335A66"/>
    <w:rsid w:val="00335BA1"/>
    <w:rsid w:val="00336836"/>
    <w:rsid w:val="00336972"/>
    <w:rsid w:val="00336AC5"/>
    <w:rsid w:val="00336AF7"/>
    <w:rsid w:val="003374F7"/>
    <w:rsid w:val="00337F91"/>
    <w:rsid w:val="00340892"/>
    <w:rsid w:val="00340A6D"/>
    <w:rsid w:val="00340CD0"/>
    <w:rsid w:val="00340F02"/>
    <w:rsid w:val="00341363"/>
    <w:rsid w:val="00341364"/>
    <w:rsid w:val="00341A0B"/>
    <w:rsid w:val="00342121"/>
    <w:rsid w:val="003424AD"/>
    <w:rsid w:val="003429B2"/>
    <w:rsid w:val="00342DED"/>
    <w:rsid w:val="00343981"/>
    <w:rsid w:val="00344060"/>
    <w:rsid w:val="00344FE5"/>
    <w:rsid w:val="00345144"/>
    <w:rsid w:val="00345560"/>
    <w:rsid w:val="00345952"/>
    <w:rsid w:val="00345B7F"/>
    <w:rsid w:val="00345FE0"/>
    <w:rsid w:val="00346161"/>
    <w:rsid w:val="0034694E"/>
    <w:rsid w:val="00346A40"/>
    <w:rsid w:val="00346ADA"/>
    <w:rsid w:val="0034743E"/>
    <w:rsid w:val="00347578"/>
    <w:rsid w:val="003475CF"/>
    <w:rsid w:val="003478DE"/>
    <w:rsid w:val="00347F61"/>
    <w:rsid w:val="003500BC"/>
    <w:rsid w:val="0035053B"/>
    <w:rsid w:val="003506FC"/>
    <w:rsid w:val="00350AA6"/>
    <w:rsid w:val="00351664"/>
    <w:rsid w:val="00351854"/>
    <w:rsid w:val="00351AA0"/>
    <w:rsid w:val="00352010"/>
    <w:rsid w:val="0035280F"/>
    <w:rsid w:val="00352C79"/>
    <w:rsid w:val="00352D10"/>
    <w:rsid w:val="00352E9E"/>
    <w:rsid w:val="00352EE4"/>
    <w:rsid w:val="0035347F"/>
    <w:rsid w:val="00353E79"/>
    <w:rsid w:val="003540F0"/>
    <w:rsid w:val="00354BE9"/>
    <w:rsid w:val="00354D58"/>
    <w:rsid w:val="00354EAD"/>
    <w:rsid w:val="00355615"/>
    <w:rsid w:val="00355DC3"/>
    <w:rsid w:val="00355E5D"/>
    <w:rsid w:val="00356F26"/>
    <w:rsid w:val="00357BE6"/>
    <w:rsid w:val="003604BB"/>
    <w:rsid w:val="00360740"/>
    <w:rsid w:val="003615AA"/>
    <w:rsid w:val="003617C4"/>
    <w:rsid w:val="00361D73"/>
    <w:rsid w:val="00361F64"/>
    <w:rsid w:val="0036203B"/>
    <w:rsid w:val="0036258D"/>
    <w:rsid w:val="00362821"/>
    <w:rsid w:val="00362949"/>
    <w:rsid w:val="00362C87"/>
    <w:rsid w:val="00363208"/>
    <w:rsid w:val="0036486D"/>
    <w:rsid w:val="003648FA"/>
    <w:rsid w:val="00364A54"/>
    <w:rsid w:val="00364C92"/>
    <w:rsid w:val="0036509C"/>
    <w:rsid w:val="00365A59"/>
    <w:rsid w:val="00365FD0"/>
    <w:rsid w:val="00366C0D"/>
    <w:rsid w:val="00367164"/>
    <w:rsid w:val="00367716"/>
    <w:rsid w:val="0036775B"/>
    <w:rsid w:val="00367A22"/>
    <w:rsid w:val="00367A89"/>
    <w:rsid w:val="00367AB6"/>
    <w:rsid w:val="00367B18"/>
    <w:rsid w:val="00367F24"/>
    <w:rsid w:val="0036B8F0"/>
    <w:rsid w:val="0037006C"/>
    <w:rsid w:val="00370A44"/>
    <w:rsid w:val="00371C74"/>
    <w:rsid w:val="0037309E"/>
    <w:rsid w:val="0037380C"/>
    <w:rsid w:val="00373BB4"/>
    <w:rsid w:val="003740A8"/>
    <w:rsid w:val="003746EB"/>
    <w:rsid w:val="003747A2"/>
    <w:rsid w:val="003747CE"/>
    <w:rsid w:val="00374DC1"/>
    <w:rsid w:val="00376B1A"/>
    <w:rsid w:val="00377063"/>
    <w:rsid w:val="003778A5"/>
    <w:rsid w:val="00377932"/>
    <w:rsid w:val="00377F76"/>
    <w:rsid w:val="003800D9"/>
    <w:rsid w:val="003804F9"/>
    <w:rsid w:val="003805EA"/>
    <w:rsid w:val="0038068B"/>
    <w:rsid w:val="00380977"/>
    <w:rsid w:val="00380D5A"/>
    <w:rsid w:val="003814A5"/>
    <w:rsid w:val="00381766"/>
    <w:rsid w:val="00381938"/>
    <w:rsid w:val="0038203F"/>
    <w:rsid w:val="00382311"/>
    <w:rsid w:val="00382591"/>
    <w:rsid w:val="00382D99"/>
    <w:rsid w:val="0038347C"/>
    <w:rsid w:val="00383AD1"/>
    <w:rsid w:val="00383BA5"/>
    <w:rsid w:val="0038469B"/>
    <w:rsid w:val="00384A84"/>
    <w:rsid w:val="00386248"/>
    <w:rsid w:val="003862AA"/>
    <w:rsid w:val="00386999"/>
    <w:rsid w:val="00386E98"/>
    <w:rsid w:val="00387383"/>
    <w:rsid w:val="0038758D"/>
    <w:rsid w:val="00387834"/>
    <w:rsid w:val="00387961"/>
    <w:rsid w:val="00387AAA"/>
    <w:rsid w:val="00387E5A"/>
    <w:rsid w:val="00387EAD"/>
    <w:rsid w:val="0039018A"/>
    <w:rsid w:val="0039023D"/>
    <w:rsid w:val="003905E6"/>
    <w:rsid w:val="00390777"/>
    <w:rsid w:val="00390D90"/>
    <w:rsid w:val="0039116A"/>
    <w:rsid w:val="00391302"/>
    <w:rsid w:val="00391597"/>
    <w:rsid w:val="00391BD1"/>
    <w:rsid w:val="003927BA"/>
    <w:rsid w:val="00392F6A"/>
    <w:rsid w:val="00393D2C"/>
    <w:rsid w:val="00393FEC"/>
    <w:rsid w:val="00394106"/>
    <w:rsid w:val="00394135"/>
    <w:rsid w:val="003944C2"/>
    <w:rsid w:val="003947CB"/>
    <w:rsid w:val="00394B38"/>
    <w:rsid w:val="00394EB0"/>
    <w:rsid w:val="0039520F"/>
    <w:rsid w:val="00395471"/>
    <w:rsid w:val="003954C3"/>
    <w:rsid w:val="0039566E"/>
    <w:rsid w:val="003957BC"/>
    <w:rsid w:val="00396660"/>
    <w:rsid w:val="0039708B"/>
    <w:rsid w:val="0039756E"/>
    <w:rsid w:val="0039795D"/>
    <w:rsid w:val="003A025B"/>
    <w:rsid w:val="003A052E"/>
    <w:rsid w:val="003A0679"/>
    <w:rsid w:val="003A0826"/>
    <w:rsid w:val="003A0DF5"/>
    <w:rsid w:val="003A1057"/>
    <w:rsid w:val="003A179E"/>
    <w:rsid w:val="003A1867"/>
    <w:rsid w:val="003A1B05"/>
    <w:rsid w:val="003A1BAC"/>
    <w:rsid w:val="003A1BE9"/>
    <w:rsid w:val="003A1C06"/>
    <w:rsid w:val="003A1FF8"/>
    <w:rsid w:val="003A2819"/>
    <w:rsid w:val="003A290C"/>
    <w:rsid w:val="003A3368"/>
    <w:rsid w:val="003A3555"/>
    <w:rsid w:val="003A36DB"/>
    <w:rsid w:val="003A3EBD"/>
    <w:rsid w:val="003A42D2"/>
    <w:rsid w:val="003A43ED"/>
    <w:rsid w:val="003A47F1"/>
    <w:rsid w:val="003A4E49"/>
    <w:rsid w:val="003A4EB2"/>
    <w:rsid w:val="003A5451"/>
    <w:rsid w:val="003A5C09"/>
    <w:rsid w:val="003A5C8F"/>
    <w:rsid w:val="003A5D24"/>
    <w:rsid w:val="003A5E4E"/>
    <w:rsid w:val="003A5FA1"/>
    <w:rsid w:val="003A65EB"/>
    <w:rsid w:val="003A6AAA"/>
    <w:rsid w:val="003A6E04"/>
    <w:rsid w:val="003A75F3"/>
    <w:rsid w:val="003A75F8"/>
    <w:rsid w:val="003A785E"/>
    <w:rsid w:val="003A7D33"/>
    <w:rsid w:val="003B0172"/>
    <w:rsid w:val="003B0304"/>
    <w:rsid w:val="003B07DC"/>
    <w:rsid w:val="003B099C"/>
    <w:rsid w:val="003B14DB"/>
    <w:rsid w:val="003B1A90"/>
    <w:rsid w:val="003B1AFC"/>
    <w:rsid w:val="003B20BA"/>
    <w:rsid w:val="003B2337"/>
    <w:rsid w:val="003B2ED3"/>
    <w:rsid w:val="003B3101"/>
    <w:rsid w:val="003B31C7"/>
    <w:rsid w:val="003B3532"/>
    <w:rsid w:val="003B366B"/>
    <w:rsid w:val="003B3C4B"/>
    <w:rsid w:val="003B4088"/>
    <w:rsid w:val="003B432B"/>
    <w:rsid w:val="003B43EF"/>
    <w:rsid w:val="003B4827"/>
    <w:rsid w:val="003B4AD6"/>
    <w:rsid w:val="003B4F5F"/>
    <w:rsid w:val="003B5936"/>
    <w:rsid w:val="003B5A12"/>
    <w:rsid w:val="003B5DBE"/>
    <w:rsid w:val="003B610F"/>
    <w:rsid w:val="003B6602"/>
    <w:rsid w:val="003B67EC"/>
    <w:rsid w:val="003B6B31"/>
    <w:rsid w:val="003B6C8D"/>
    <w:rsid w:val="003B6C99"/>
    <w:rsid w:val="003B6CDE"/>
    <w:rsid w:val="003B7C6C"/>
    <w:rsid w:val="003B7D77"/>
    <w:rsid w:val="003C0407"/>
    <w:rsid w:val="003C0BF9"/>
    <w:rsid w:val="003C0EAF"/>
    <w:rsid w:val="003C0EDB"/>
    <w:rsid w:val="003C0FB6"/>
    <w:rsid w:val="003C103A"/>
    <w:rsid w:val="003C10D5"/>
    <w:rsid w:val="003C1724"/>
    <w:rsid w:val="003C1DF3"/>
    <w:rsid w:val="003C27F4"/>
    <w:rsid w:val="003C2898"/>
    <w:rsid w:val="003C2AA7"/>
    <w:rsid w:val="003C31B5"/>
    <w:rsid w:val="003C33F9"/>
    <w:rsid w:val="003C35DA"/>
    <w:rsid w:val="003C3D8F"/>
    <w:rsid w:val="003C412A"/>
    <w:rsid w:val="003C42D3"/>
    <w:rsid w:val="003C437E"/>
    <w:rsid w:val="003C464C"/>
    <w:rsid w:val="003C466F"/>
    <w:rsid w:val="003C4C6F"/>
    <w:rsid w:val="003C5303"/>
    <w:rsid w:val="003C545D"/>
    <w:rsid w:val="003C5ACD"/>
    <w:rsid w:val="003C5DA0"/>
    <w:rsid w:val="003C60FA"/>
    <w:rsid w:val="003C6778"/>
    <w:rsid w:val="003C6D0D"/>
    <w:rsid w:val="003C6D87"/>
    <w:rsid w:val="003C78D5"/>
    <w:rsid w:val="003C7A5E"/>
    <w:rsid w:val="003D014B"/>
    <w:rsid w:val="003D0410"/>
    <w:rsid w:val="003D088A"/>
    <w:rsid w:val="003D0F1D"/>
    <w:rsid w:val="003D19B2"/>
    <w:rsid w:val="003D1B01"/>
    <w:rsid w:val="003D2542"/>
    <w:rsid w:val="003D2555"/>
    <w:rsid w:val="003D2586"/>
    <w:rsid w:val="003D29B5"/>
    <w:rsid w:val="003D3069"/>
    <w:rsid w:val="003D349C"/>
    <w:rsid w:val="003D3C18"/>
    <w:rsid w:val="003D4014"/>
    <w:rsid w:val="003D41C3"/>
    <w:rsid w:val="003D4E68"/>
    <w:rsid w:val="003D5544"/>
    <w:rsid w:val="003D5779"/>
    <w:rsid w:val="003D5BA5"/>
    <w:rsid w:val="003D5C52"/>
    <w:rsid w:val="003D5E7A"/>
    <w:rsid w:val="003D6446"/>
    <w:rsid w:val="003D6826"/>
    <w:rsid w:val="003D6B1C"/>
    <w:rsid w:val="003D6FC6"/>
    <w:rsid w:val="003D71DC"/>
    <w:rsid w:val="003D72D0"/>
    <w:rsid w:val="003D7D4C"/>
    <w:rsid w:val="003E00DD"/>
    <w:rsid w:val="003E0431"/>
    <w:rsid w:val="003E075C"/>
    <w:rsid w:val="003E085D"/>
    <w:rsid w:val="003E0FB4"/>
    <w:rsid w:val="003E172F"/>
    <w:rsid w:val="003E1CAC"/>
    <w:rsid w:val="003E1CD7"/>
    <w:rsid w:val="003E203E"/>
    <w:rsid w:val="003E22B7"/>
    <w:rsid w:val="003E2528"/>
    <w:rsid w:val="003E25A8"/>
    <w:rsid w:val="003E2BFC"/>
    <w:rsid w:val="003E3082"/>
    <w:rsid w:val="003E3644"/>
    <w:rsid w:val="003E4218"/>
    <w:rsid w:val="003E4432"/>
    <w:rsid w:val="003E45B1"/>
    <w:rsid w:val="003E490B"/>
    <w:rsid w:val="003E4DB1"/>
    <w:rsid w:val="003E506E"/>
    <w:rsid w:val="003E5658"/>
    <w:rsid w:val="003E57BC"/>
    <w:rsid w:val="003E5817"/>
    <w:rsid w:val="003E70E1"/>
    <w:rsid w:val="003E74A8"/>
    <w:rsid w:val="003E75C2"/>
    <w:rsid w:val="003E7D99"/>
    <w:rsid w:val="003F055B"/>
    <w:rsid w:val="003F0612"/>
    <w:rsid w:val="003F0919"/>
    <w:rsid w:val="003F091F"/>
    <w:rsid w:val="003F0D92"/>
    <w:rsid w:val="003F0F06"/>
    <w:rsid w:val="003F1341"/>
    <w:rsid w:val="003F14F2"/>
    <w:rsid w:val="003F2056"/>
    <w:rsid w:val="003F2BBC"/>
    <w:rsid w:val="003F3036"/>
    <w:rsid w:val="003F4082"/>
    <w:rsid w:val="003F4171"/>
    <w:rsid w:val="003F4828"/>
    <w:rsid w:val="003F4A83"/>
    <w:rsid w:val="003F4EF1"/>
    <w:rsid w:val="003F50E8"/>
    <w:rsid w:val="003F7051"/>
    <w:rsid w:val="003F731B"/>
    <w:rsid w:val="003F7457"/>
    <w:rsid w:val="003F785E"/>
    <w:rsid w:val="003F7B9B"/>
    <w:rsid w:val="003F7D1E"/>
    <w:rsid w:val="00400A72"/>
    <w:rsid w:val="004011ED"/>
    <w:rsid w:val="004014D1"/>
    <w:rsid w:val="0040196D"/>
    <w:rsid w:val="00401A16"/>
    <w:rsid w:val="00401B37"/>
    <w:rsid w:val="00401BBE"/>
    <w:rsid w:val="00401C76"/>
    <w:rsid w:val="00402946"/>
    <w:rsid w:val="0040298E"/>
    <w:rsid w:val="00402DD8"/>
    <w:rsid w:val="00402E41"/>
    <w:rsid w:val="00402EC3"/>
    <w:rsid w:val="00403542"/>
    <w:rsid w:val="004035CD"/>
    <w:rsid w:val="00403880"/>
    <w:rsid w:val="004043DA"/>
    <w:rsid w:val="0040454C"/>
    <w:rsid w:val="00404C05"/>
    <w:rsid w:val="00404CE5"/>
    <w:rsid w:val="00404D81"/>
    <w:rsid w:val="004054B8"/>
    <w:rsid w:val="00405ED7"/>
    <w:rsid w:val="00405F67"/>
    <w:rsid w:val="004066CB"/>
    <w:rsid w:val="00406AAF"/>
    <w:rsid w:val="00406B1C"/>
    <w:rsid w:val="00407049"/>
    <w:rsid w:val="00407623"/>
    <w:rsid w:val="00407D7F"/>
    <w:rsid w:val="004100C7"/>
    <w:rsid w:val="00410249"/>
    <w:rsid w:val="00410717"/>
    <w:rsid w:val="004108E6"/>
    <w:rsid w:val="004109A2"/>
    <w:rsid w:val="004109CE"/>
    <w:rsid w:val="00411347"/>
    <w:rsid w:val="0041144B"/>
    <w:rsid w:val="00412464"/>
    <w:rsid w:val="00412A85"/>
    <w:rsid w:val="00412CB1"/>
    <w:rsid w:val="00413172"/>
    <w:rsid w:val="004132FA"/>
    <w:rsid w:val="00414068"/>
    <w:rsid w:val="0041417A"/>
    <w:rsid w:val="0041418F"/>
    <w:rsid w:val="004147EF"/>
    <w:rsid w:val="00414AB6"/>
    <w:rsid w:val="00414BAF"/>
    <w:rsid w:val="0041571A"/>
    <w:rsid w:val="00415B71"/>
    <w:rsid w:val="00415EBF"/>
    <w:rsid w:val="00416541"/>
    <w:rsid w:val="004168DF"/>
    <w:rsid w:val="004169CA"/>
    <w:rsid w:val="00416CA4"/>
    <w:rsid w:val="00417611"/>
    <w:rsid w:val="0041785B"/>
    <w:rsid w:val="004203A1"/>
    <w:rsid w:val="00420A54"/>
    <w:rsid w:val="00420E31"/>
    <w:rsid w:val="004213AE"/>
    <w:rsid w:val="0042164F"/>
    <w:rsid w:val="00421EBC"/>
    <w:rsid w:val="00422937"/>
    <w:rsid w:val="00423150"/>
    <w:rsid w:val="004232D4"/>
    <w:rsid w:val="00423533"/>
    <w:rsid w:val="00423782"/>
    <w:rsid w:val="00423C8F"/>
    <w:rsid w:val="0042412B"/>
    <w:rsid w:val="004241E2"/>
    <w:rsid w:val="004243B1"/>
    <w:rsid w:val="00424A6D"/>
    <w:rsid w:val="00424CFE"/>
    <w:rsid w:val="00424D7C"/>
    <w:rsid w:val="0042502A"/>
    <w:rsid w:val="0042517F"/>
    <w:rsid w:val="00425183"/>
    <w:rsid w:val="004260FA"/>
    <w:rsid w:val="0042643F"/>
    <w:rsid w:val="004265FB"/>
    <w:rsid w:val="00426CD4"/>
    <w:rsid w:val="00426CEC"/>
    <w:rsid w:val="00426F92"/>
    <w:rsid w:val="004278B4"/>
    <w:rsid w:val="00427B18"/>
    <w:rsid w:val="00430B0A"/>
    <w:rsid w:val="004310BC"/>
    <w:rsid w:val="004315AB"/>
    <w:rsid w:val="004324D8"/>
    <w:rsid w:val="0043253A"/>
    <w:rsid w:val="00432749"/>
    <w:rsid w:val="00433283"/>
    <w:rsid w:val="00434042"/>
    <w:rsid w:val="00434227"/>
    <w:rsid w:val="00435D27"/>
    <w:rsid w:val="00435D4A"/>
    <w:rsid w:val="00436096"/>
    <w:rsid w:val="00436382"/>
    <w:rsid w:val="004364DE"/>
    <w:rsid w:val="00436CFB"/>
    <w:rsid w:val="00436FF1"/>
    <w:rsid w:val="004373F1"/>
    <w:rsid w:val="00437E5B"/>
    <w:rsid w:val="00437FC5"/>
    <w:rsid w:val="00440000"/>
    <w:rsid w:val="004402DC"/>
    <w:rsid w:val="00440624"/>
    <w:rsid w:val="00440FDC"/>
    <w:rsid w:val="00441F70"/>
    <w:rsid w:val="0044214E"/>
    <w:rsid w:val="0044265C"/>
    <w:rsid w:val="00442786"/>
    <w:rsid w:val="004431B6"/>
    <w:rsid w:val="004434F0"/>
    <w:rsid w:val="00443D1D"/>
    <w:rsid w:val="00443FD0"/>
    <w:rsid w:val="0044517C"/>
    <w:rsid w:val="00445361"/>
    <w:rsid w:val="0044578E"/>
    <w:rsid w:val="00445BA2"/>
    <w:rsid w:val="00445CA3"/>
    <w:rsid w:val="00445FF2"/>
    <w:rsid w:val="00446A57"/>
    <w:rsid w:val="00446C4B"/>
    <w:rsid w:val="00446EF8"/>
    <w:rsid w:val="00447442"/>
    <w:rsid w:val="00447BDB"/>
    <w:rsid w:val="00447EFE"/>
    <w:rsid w:val="00451180"/>
    <w:rsid w:val="0045170A"/>
    <w:rsid w:val="004517F1"/>
    <w:rsid w:val="00451F2B"/>
    <w:rsid w:val="004521F4"/>
    <w:rsid w:val="004526D9"/>
    <w:rsid w:val="00453165"/>
    <w:rsid w:val="00453FF5"/>
    <w:rsid w:val="004542C4"/>
    <w:rsid w:val="0045449E"/>
    <w:rsid w:val="004547C3"/>
    <w:rsid w:val="00454A92"/>
    <w:rsid w:val="00454C2A"/>
    <w:rsid w:val="00454CF7"/>
    <w:rsid w:val="00454D19"/>
    <w:rsid w:val="00454DD7"/>
    <w:rsid w:val="0045550A"/>
    <w:rsid w:val="004557BA"/>
    <w:rsid w:val="00455937"/>
    <w:rsid w:val="004559F5"/>
    <w:rsid w:val="00455F25"/>
    <w:rsid w:val="00456353"/>
    <w:rsid w:val="00456661"/>
    <w:rsid w:val="00456C72"/>
    <w:rsid w:val="00456C7C"/>
    <w:rsid w:val="00456EC1"/>
    <w:rsid w:val="00457509"/>
    <w:rsid w:val="00457AAA"/>
    <w:rsid w:val="00457AE7"/>
    <w:rsid w:val="00457B58"/>
    <w:rsid w:val="00460023"/>
    <w:rsid w:val="00460423"/>
    <w:rsid w:val="004607AF"/>
    <w:rsid w:val="00460D22"/>
    <w:rsid w:val="004615A7"/>
    <w:rsid w:val="00461F68"/>
    <w:rsid w:val="00462239"/>
    <w:rsid w:val="004627A7"/>
    <w:rsid w:val="00462DBB"/>
    <w:rsid w:val="00463281"/>
    <w:rsid w:val="0046338E"/>
    <w:rsid w:val="00463D9B"/>
    <w:rsid w:val="00464912"/>
    <w:rsid w:val="00464D06"/>
    <w:rsid w:val="00465D99"/>
    <w:rsid w:val="00466094"/>
    <w:rsid w:val="0046657C"/>
    <w:rsid w:val="00466BC4"/>
    <w:rsid w:val="00466D85"/>
    <w:rsid w:val="004671AA"/>
    <w:rsid w:val="00467295"/>
    <w:rsid w:val="00467463"/>
    <w:rsid w:val="00467A40"/>
    <w:rsid w:val="00467C6A"/>
    <w:rsid w:val="00467C9D"/>
    <w:rsid w:val="00470BF6"/>
    <w:rsid w:val="00470EB4"/>
    <w:rsid w:val="00471636"/>
    <w:rsid w:val="00471C24"/>
    <w:rsid w:val="00472A03"/>
    <w:rsid w:val="00472AC6"/>
    <w:rsid w:val="00472B6D"/>
    <w:rsid w:val="004731EE"/>
    <w:rsid w:val="0047326C"/>
    <w:rsid w:val="0047328F"/>
    <w:rsid w:val="00473315"/>
    <w:rsid w:val="00473482"/>
    <w:rsid w:val="0047378A"/>
    <w:rsid w:val="00473B3B"/>
    <w:rsid w:val="00473E4E"/>
    <w:rsid w:val="00474AE3"/>
    <w:rsid w:val="0047507E"/>
    <w:rsid w:val="004753FE"/>
    <w:rsid w:val="00475585"/>
    <w:rsid w:val="0047578D"/>
    <w:rsid w:val="004757C7"/>
    <w:rsid w:val="00475A0D"/>
    <w:rsid w:val="00475A1A"/>
    <w:rsid w:val="00475A1F"/>
    <w:rsid w:val="00476045"/>
    <w:rsid w:val="004762B6"/>
    <w:rsid w:val="0047635A"/>
    <w:rsid w:val="00476801"/>
    <w:rsid w:val="00476940"/>
    <w:rsid w:val="00476978"/>
    <w:rsid w:val="004769B9"/>
    <w:rsid w:val="00476B1E"/>
    <w:rsid w:val="0047765E"/>
    <w:rsid w:val="00477B0C"/>
    <w:rsid w:val="00480037"/>
    <w:rsid w:val="004802C8"/>
    <w:rsid w:val="004818EC"/>
    <w:rsid w:val="00481FAD"/>
    <w:rsid w:val="00482462"/>
    <w:rsid w:val="00483210"/>
    <w:rsid w:val="00483310"/>
    <w:rsid w:val="00483A18"/>
    <w:rsid w:val="00483D9E"/>
    <w:rsid w:val="004846ED"/>
    <w:rsid w:val="004847E7"/>
    <w:rsid w:val="004847EB"/>
    <w:rsid w:val="00484C02"/>
    <w:rsid w:val="00484D4E"/>
    <w:rsid w:val="0048512C"/>
    <w:rsid w:val="004852F2"/>
    <w:rsid w:val="0048559C"/>
    <w:rsid w:val="00486539"/>
    <w:rsid w:val="0048675C"/>
    <w:rsid w:val="004867B5"/>
    <w:rsid w:val="00486D9E"/>
    <w:rsid w:val="00486F1C"/>
    <w:rsid w:val="0048727F"/>
    <w:rsid w:val="00487616"/>
    <w:rsid w:val="004879FA"/>
    <w:rsid w:val="00487D00"/>
    <w:rsid w:val="00490255"/>
    <w:rsid w:val="004905C7"/>
    <w:rsid w:val="00490EC9"/>
    <w:rsid w:val="00491041"/>
    <w:rsid w:val="0049128E"/>
    <w:rsid w:val="004912F7"/>
    <w:rsid w:val="004916D5"/>
    <w:rsid w:val="00491B89"/>
    <w:rsid w:val="00492ACD"/>
    <w:rsid w:val="00492DC8"/>
    <w:rsid w:val="00492DFC"/>
    <w:rsid w:val="00493DE8"/>
    <w:rsid w:val="004944A2"/>
    <w:rsid w:val="00494B66"/>
    <w:rsid w:val="00494ED5"/>
    <w:rsid w:val="00495490"/>
    <w:rsid w:val="00495839"/>
    <w:rsid w:val="004958F9"/>
    <w:rsid w:val="00495E33"/>
    <w:rsid w:val="00496328"/>
    <w:rsid w:val="004973C5"/>
    <w:rsid w:val="004976C4"/>
    <w:rsid w:val="00497719"/>
    <w:rsid w:val="00497D44"/>
    <w:rsid w:val="004A0153"/>
    <w:rsid w:val="004A0801"/>
    <w:rsid w:val="004A08F9"/>
    <w:rsid w:val="004A10AB"/>
    <w:rsid w:val="004A141F"/>
    <w:rsid w:val="004A1B63"/>
    <w:rsid w:val="004A27D9"/>
    <w:rsid w:val="004A290D"/>
    <w:rsid w:val="004A29F3"/>
    <w:rsid w:val="004A2D3A"/>
    <w:rsid w:val="004A2F6C"/>
    <w:rsid w:val="004A3363"/>
    <w:rsid w:val="004A40D8"/>
    <w:rsid w:val="004A4134"/>
    <w:rsid w:val="004A42B6"/>
    <w:rsid w:val="004A4384"/>
    <w:rsid w:val="004A4490"/>
    <w:rsid w:val="004A47B4"/>
    <w:rsid w:val="004A47E2"/>
    <w:rsid w:val="004A4979"/>
    <w:rsid w:val="004A4FA3"/>
    <w:rsid w:val="004A5091"/>
    <w:rsid w:val="004A65F0"/>
    <w:rsid w:val="004A6869"/>
    <w:rsid w:val="004A69DB"/>
    <w:rsid w:val="004A69F7"/>
    <w:rsid w:val="004A7186"/>
    <w:rsid w:val="004A761C"/>
    <w:rsid w:val="004A7701"/>
    <w:rsid w:val="004A7B16"/>
    <w:rsid w:val="004A7F2B"/>
    <w:rsid w:val="004B0271"/>
    <w:rsid w:val="004B0B65"/>
    <w:rsid w:val="004B1926"/>
    <w:rsid w:val="004B1C71"/>
    <w:rsid w:val="004B2213"/>
    <w:rsid w:val="004B2282"/>
    <w:rsid w:val="004B23E6"/>
    <w:rsid w:val="004B36A6"/>
    <w:rsid w:val="004B3C7B"/>
    <w:rsid w:val="004B448E"/>
    <w:rsid w:val="004B49DE"/>
    <w:rsid w:val="004B4C5C"/>
    <w:rsid w:val="004B5B4F"/>
    <w:rsid w:val="004B5C3C"/>
    <w:rsid w:val="004B5DBA"/>
    <w:rsid w:val="004B60A8"/>
    <w:rsid w:val="004B61DE"/>
    <w:rsid w:val="004B673F"/>
    <w:rsid w:val="004B696C"/>
    <w:rsid w:val="004B7862"/>
    <w:rsid w:val="004B7A62"/>
    <w:rsid w:val="004B7DFB"/>
    <w:rsid w:val="004C06AB"/>
    <w:rsid w:val="004C0D0A"/>
    <w:rsid w:val="004C1B6F"/>
    <w:rsid w:val="004C2062"/>
    <w:rsid w:val="004C2853"/>
    <w:rsid w:val="004C2A78"/>
    <w:rsid w:val="004C2CCC"/>
    <w:rsid w:val="004C33AD"/>
    <w:rsid w:val="004C379A"/>
    <w:rsid w:val="004C398D"/>
    <w:rsid w:val="004C3998"/>
    <w:rsid w:val="004C3E9F"/>
    <w:rsid w:val="004C4F14"/>
    <w:rsid w:val="004C4F74"/>
    <w:rsid w:val="004C547F"/>
    <w:rsid w:val="004C55EA"/>
    <w:rsid w:val="004C5B8D"/>
    <w:rsid w:val="004C5E95"/>
    <w:rsid w:val="004C6A6D"/>
    <w:rsid w:val="004C7200"/>
    <w:rsid w:val="004C7374"/>
    <w:rsid w:val="004C7592"/>
    <w:rsid w:val="004C7846"/>
    <w:rsid w:val="004C7E7C"/>
    <w:rsid w:val="004D0F49"/>
    <w:rsid w:val="004D18EA"/>
    <w:rsid w:val="004D1FBD"/>
    <w:rsid w:val="004D21DF"/>
    <w:rsid w:val="004D235B"/>
    <w:rsid w:val="004D2453"/>
    <w:rsid w:val="004D25DE"/>
    <w:rsid w:val="004D2886"/>
    <w:rsid w:val="004D28A5"/>
    <w:rsid w:val="004D2B00"/>
    <w:rsid w:val="004D317F"/>
    <w:rsid w:val="004D33F5"/>
    <w:rsid w:val="004D3896"/>
    <w:rsid w:val="004D47DF"/>
    <w:rsid w:val="004D49A0"/>
    <w:rsid w:val="004D519B"/>
    <w:rsid w:val="004D6099"/>
    <w:rsid w:val="004D6253"/>
    <w:rsid w:val="004D682B"/>
    <w:rsid w:val="004D6E12"/>
    <w:rsid w:val="004D7009"/>
    <w:rsid w:val="004D70F4"/>
    <w:rsid w:val="004D770D"/>
    <w:rsid w:val="004D7C50"/>
    <w:rsid w:val="004E0743"/>
    <w:rsid w:val="004E0A4D"/>
    <w:rsid w:val="004E12E9"/>
    <w:rsid w:val="004E1D6F"/>
    <w:rsid w:val="004E2CF2"/>
    <w:rsid w:val="004E2E2A"/>
    <w:rsid w:val="004E424A"/>
    <w:rsid w:val="004E4609"/>
    <w:rsid w:val="004E4C5E"/>
    <w:rsid w:val="004E53EC"/>
    <w:rsid w:val="004E577D"/>
    <w:rsid w:val="004E5991"/>
    <w:rsid w:val="004E5BF1"/>
    <w:rsid w:val="004E5CD4"/>
    <w:rsid w:val="004E612C"/>
    <w:rsid w:val="004E6174"/>
    <w:rsid w:val="004E621C"/>
    <w:rsid w:val="004E62E0"/>
    <w:rsid w:val="004E6D02"/>
    <w:rsid w:val="004E6DF4"/>
    <w:rsid w:val="004E74CA"/>
    <w:rsid w:val="004E7AF0"/>
    <w:rsid w:val="004E7FF5"/>
    <w:rsid w:val="004F09FF"/>
    <w:rsid w:val="004F0C0C"/>
    <w:rsid w:val="004F18FA"/>
    <w:rsid w:val="004F1B95"/>
    <w:rsid w:val="004F1D03"/>
    <w:rsid w:val="004F1DED"/>
    <w:rsid w:val="004F1F2B"/>
    <w:rsid w:val="004F20F5"/>
    <w:rsid w:val="004F2C32"/>
    <w:rsid w:val="004F2C57"/>
    <w:rsid w:val="004F43F1"/>
    <w:rsid w:val="004F4644"/>
    <w:rsid w:val="004F495E"/>
    <w:rsid w:val="004F4EBB"/>
    <w:rsid w:val="004F598E"/>
    <w:rsid w:val="004F59C1"/>
    <w:rsid w:val="004F604E"/>
    <w:rsid w:val="004F6097"/>
    <w:rsid w:val="004F60C0"/>
    <w:rsid w:val="004F622B"/>
    <w:rsid w:val="004F63BD"/>
    <w:rsid w:val="004F6B6C"/>
    <w:rsid w:val="004F6E8D"/>
    <w:rsid w:val="004F7106"/>
    <w:rsid w:val="004F76FF"/>
    <w:rsid w:val="004F77F6"/>
    <w:rsid w:val="004F7FD6"/>
    <w:rsid w:val="0050008C"/>
    <w:rsid w:val="00500C15"/>
    <w:rsid w:val="005010FA"/>
    <w:rsid w:val="00501435"/>
    <w:rsid w:val="00501B77"/>
    <w:rsid w:val="00501C08"/>
    <w:rsid w:val="00501F4D"/>
    <w:rsid w:val="00502791"/>
    <w:rsid w:val="00502CD4"/>
    <w:rsid w:val="00502D6D"/>
    <w:rsid w:val="00502E86"/>
    <w:rsid w:val="00503AC7"/>
    <w:rsid w:val="005042C5"/>
    <w:rsid w:val="00505C84"/>
    <w:rsid w:val="00505FA6"/>
    <w:rsid w:val="005069E0"/>
    <w:rsid w:val="00507043"/>
    <w:rsid w:val="00507781"/>
    <w:rsid w:val="005077DF"/>
    <w:rsid w:val="00507805"/>
    <w:rsid w:val="00510886"/>
    <w:rsid w:val="00510E6F"/>
    <w:rsid w:val="00511589"/>
    <w:rsid w:val="00511741"/>
    <w:rsid w:val="00511E2B"/>
    <w:rsid w:val="0051209E"/>
    <w:rsid w:val="00512262"/>
    <w:rsid w:val="005124B8"/>
    <w:rsid w:val="00513178"/>
    <w:rsid w:val="0051382B"/>
    <w:rsid w:val="005139DC"/>
    <w:rsid w:val="00513DE1"/>
    <w:rsid w:val="00513E8D"/>
    <w:rsid w:val="0051402C"/>
    <w:rsid w:val="00514053"/>
    <w:rsid w:val="00514149"/>
    <w:rsid w:val="00514A33"/>
    <w:rsid w:val="00514E2D"/>
    <w:rsid w:val="00515E84"/>
    <w:rsid w:val="00515E9B"/>
    <w:rsid w:val="0051643C"/>
    <w:rsid w:val="00516AF0"/>
    <w:rsid w:val="00517328"/>
    <w:rsid w:val="0051783B"/>
    <w:rsid w:val="00520CBB"/>
    <w:rsid w:val="00520EA2"/>
    <w:rsid w:val="005213E2"/>
    <w:rsid w:val="00521FEF"/>
    <w:rsid w:val="0052289F"/>
    <w:rsid w:val="00522E7C"/>
    <w:rsid w:val="005233B5"/>
    <w:rsid w:val="0052361B"/>
    <w:rsid w:val="00523E35"/>
    <w:rsid w:val="00523F0E"/>
    <w:rsid w:val="0052409B"/>
    <w:rsid w:val="00524A5E"/>
    <w:rsid w:val="00524BD9"/>
    <w:rsid w:val="005255CB"/>
    <w:rsid w:val="005258B3"/>
    <w:rsid w:val="00525BD2"/>
    <w:rsid w:val="00525F9E"/>
    <w:rsid w:val="00526DDC"/>
    <w:rsid w:val="00526FF4"/>
    <w:rsid w:val="0052717B"/>
    <w:rsid w:val="00527C86"/>
    <w:rsid w:val="00527CAD"/>
    <w:rsid w:val="00530896"/>
    <w:rsid w:val="00530A2B"/>
    <w:rsid w:val="0053159D"/>
    <w:rsid w:val="00531625"/>
    <w:rsid w:val="00531C46"/>
    <w:rsid w:val="00531FF5"/>
    <w:rsid w:val="00532652"/>
    <w:rsid w:val="0053271E"/>
    <w:rsid w:val="00532B3E"/>
    <w:rsid w:val="00532B91"/>
    <w:rsid w:val="00532E0C"/>
    <w:rsid w:val="00533180"/>
    <w:rsid w:val="00533574"/>
    <w:rsid w:val="00533993"/>
    <w:rsid w:val="00533AF2"/>
    <w:rsid w:val="00533FDC"/>
    <w:rsid w:val="0053400E"/>
    <w:rsid w:val="005347FE"/>
    <w:rsid w:val="005351F1"/>
    <w:rsid w:val="005358ED"/>
    <w:rsid w:val="00535CE9"/>
    <w:rsid w:val="00535D8B"/>
    <w:rsid w:val="00536331"/>
    <w:rsid w:val="005370AA"/>
    <w:rsid w:val="00537BFA"/>
    <w:rsid w:val="00537EC5"/>
    <w:rsid w:val="0054061A"/>
    <w:rsid w:val="00540806"/>
    <w:rsid w:val="0054083D"/>
    <w:rsid w:val="00540874"/>
    <w:rsid w:val="00541678"/>
    <w:rsid w:val="00541915"/>
    <w:rsid w:val="0054210C"/>
    <w:rsid w:val="005421AB"/>
    <w:rsid w:val="0054227A"/>
    <w:rsid w:val="005437C3"/>
    <w:rsid w:val="005438F6"/>
    <w:rsid w:val="00543A3A"/>
    <w:rsid w:val="00543A68"/>
    <w:rsid w:val="00543A93"/>
    <w:rsid w:val="00545567"/>
    <w:rsid w:val="00545C67"/>
    <w:rsid w:val="0054651F"/>
    <w:rsid w:val="00546860"/>
    <w:rsid w:val="00546CA8"/>
    <w:rsid w:val="00546E76"/>
    <w:rsid w:val="00547277"/>
    <w:rsid w:val="005479C8"/>
    <w:rsid w:val="00547A1B"/>
    <w:rsid w:val="0055000A"/>
    <w:rsid w:val="00550175"/>
    <w:rsid w:val="005504AC"/>
    <w:rsid w:val="005504FC"/>
    <w:rsid w:val="005506FC"/>
    <w:rsid w:val="00550972"/>
    <w:rsid w:val="00550C53"/>
    <w:rsid w:val="00551C3A"/>
    <w:rsid w:val="005525A0"/>
    <w:rsid w:val="00552C3D"/>
    <w:rsid w:val="00552F93"/>
    <w:rsid w:val="00552FAA"/>
    <w:rsid w:val="00553302"/>
    <w:rsid w:val="0055382E"/>
    <w:rsid w:val="005538CB"/>
    <w:rsid w:val="00553A6A"/>
    <w:rsid w:val="00553AC5"/>
    <w:rsid w:val="00553CC5"/>
    <w:rsid w:val="005549C6"/>
    <w:rsid w:val="00554FC2"/>
    <w:rsid w:val="0055547D"/>
    <w:rsid w:val="00555989"/>
    <w:rsid w:val="005559EF"/>
    <w:rsid w:val="00555EC4"/>
    <w:rsid w:val="00556010"/>
    <w:rsid w:val="00556299"/>
    <w:rsid w:val="00556649"/>
    <w:rsid w:val="0055734C"/>
    <w:rsid w:val="005579F8"/>
    <w:rsid w:val="00557CFA"/>
    <w:rsid w:val="00557DEA"/>
    <w:rsid w:val="00560109"/>
    <w:rsid w:val="00560280"/>
    <w:rsid w:val="005609BD"/>
    <w:rsid w:val="00560A78"/>
    <w:rsid w:val="00561D30"/>
    <w:rsid w:val="005629B0"/>
    <w:rsid w:val="005629BD"/>
    <w:rsid w:val="00562E63"/>
    <w:rsid w:val="00562F26"/>
    <w:rsid w:val="00563332"/>
    <w:rsid w:val="0056338E"/>
    <w:rsid w:val="00563530"/>
    <w:rsid w:val="0056384A"/>
    <w:rsid w:val="00563901"/>
    <w:rsid w:val="00563C8D"/>
    <w:rsid w:val="00563DD9"/>
    <w:rsid w:val="005654F8"/>
    <w:rsid w:val="005655B2"/>
    <w:rsid w:val="00566357"/>
    <w:rsid w:val="00566BC0"/>
    <w:rsid w:val="00567098"/>
    <w:rsid w:val="00567826"/>
    <w:rsid w:val="005678F1"/>
    <w:rsid w:val="00570109"/>
    <w:rsid w:val="005701BA"/>
    <w:rsid w:val="005709C3"/>
    <w:rsid w:val="00570D6B"/>
    <w:rsid w:val="00570F7A"/>
    <w:rsid w:val="005715F8"/>
    <w:rsid w:val="005719AE"/>
    <w:rsid w:val="00571AA8"/>
    <w:rsid w:val="005724CC"/>
    <w:rsid w:val="00572CF6"/>
    <w:rsid w:val="00573765"/>
    <w:rsid w:val="00573B1B"/>
    <w:rsid w:val="00573D9F"/>
    <w:rsid w:val="005742F5"/>
    <w:rsid w:val="00574A3A"/>
    <w:rsid w:val="00574AE6"/>
    <w:rsid w:val="0057506E"/>
    <w:rsid w:val="00575185"/>
    <w:rsid w:val="00575665"/>
    <w:rsid w:val="005758FB"/>
    <w:rsid w:val="00575954"/>
    <w:rsid w:val="00575D0D"/>
    <w:rsid w:val="00575F03"/>
    <w:rsid w:val="00576C80"/>
    <w:rsid w:val="005773CF"/>
    <w:rsid w:val="005774AB"/>
    <w:rsid w:val="005774C7"/>
    <w:rsid w:val="005775AD"/>
    <w:rsid w:val="00577E35"/>
    <w:rsid w:val="00577F76"/>
    <w:rsid w:val="00577F93"/>
    <w:rsid w:val="0058076D"/>
    <w:rsid w:val="00580B33"/>
    <w:rsid w:val="00580D49"/>
    <w:rsid w:val="00580E3C"/>
    <w:rsid w:val="00580FBF"/>
    <w:rsid w:val="00581021"/>
    <w:rsid w:val="0058119D"/>
    <w:rsid w:val="00581556"/>
    <w:rsid w:val="00581E29"/>
    <w:rsid w:val="005827F4"/>
    <w:rsid w:val="00582A85"/>
    <w:rsid w:val="00582FBC"/>
    <w:rsid w:val="0058388F"/>
    <w:rsid w:val="00583C76"/>
    <w:rsid w:val="00583FAA"/>
    <w:rsid w:val="005842C6"/>
    <w:rsid w:val="005845CC"/>
    <w:rsid w:val="0058477A"/>
    <w:rsid w:val="00585339"/>
    <w:rsid w:val="0058548A"/>
    <w:rsid w:val="00585643"/>
    <w:rsid w:val="0058598A"/>
    <w:rsid w:val="0058608E"/>
    <w:rsid w:val="00587109"/>
    <w:rsid w:val="00587140"/>
    <w:rsid w:val="00587748"/>
    <w:rsid w:val="0059027B"/>
    <w:rsid w:val="005903B0"/>
    <w:rsid w:val="005907F4"/>
    <w:rsid w:val="00590A97"/>
    <w:rsid w:val="00590C36"/>
    <w:rsid w:val="0059138D"/>
    <w:rsid w:val="00591708"/>
    <w:rsid w:val="005923C4"/>
    <w:rsid w:val="005933DF"/>
    <w:rsid w:val="00594EAD"/>
    <w:rsid w:val="005951ED"/>
    <w:rsid w:val="005952F9"/>
    <w:rsid w:val="00595691"/>
    <w:rsid w:val="005958EF"/>
    <w:rsid w:val="00595BF3"/>
    <w:rsid w:val="00596040"/>
    <w:rsid w:val="0059605B"/>
    <w:rsid w:val="0059608C"/>
    <w:rsid w:val="005963C8"/>
    <w:rsid w:val="005963D6"/>
    <w:rsid w:val="005964C2"/>
    <w:rsid w:val="0059731E"/>
    <w:rsid w:val="005975AB"/>
    <w:rsid w:val="005976E8"/>
    <w:rsid w:val="00597E86"/>
    <w:rsid w:val="005A02DD"/>
    <w:rsid w:val="005A04C4"/>
    <w:rsid w:val="005A08DD"/>
    <w:rsid w:val="005A0EC9"/>
    <w:rsid w:val="005A10B7"/>
    <w:rsid w:val="005A1112"/>
    <w:rsid w:val="005A1D71"/>
    <w:rsid w:val="005A21BB"/>
    <w:rsid w:val="005A233A"/>
    <w:rsid w:val="005A2380"/>
    <w:rsid w:val="005A27CE"/>
    <w:rsid w:val="005A2E3B"/>
    <w:rsid w:val="005A3390"/>
    <w:rsid w:val="005A3869"/>
    <w:rsid w:val="005A3B10"/>
    <w:rsid w:val="005A3FAE"/>
    <w:rsid w:val="005A4391"/>
    <w:rsid w:val="005A43DF"/>
    <w:rsid w:val="005A4629"/>
    <w:rsid w:val="005A4B5E"/>
    <w:rsid w:val="005A57F1"/>
    <w:rsid w:val="005A5907"/>
    <w:rsid w:val="005A5C4D"/>
    <w:rsid w:val="005A66CE"/>
    <w:rsid w:val="005A6AA2"/>
    <w:rsid w:val="005A6BBC"/>
    <w:rsid w:val="005A7049"/>
    <w:rsid w:val="005A7659"/>
    <w:rsid w:val="005A7B91"/>
    <w:rsid w:val="005B00FE"/>
    <w:rsid w:val="005B0213"/>
    <w:rsid w:val="005B03A6"/>
    <w:rsid w:val="005B06C0"/>
    <w:rsid w:val="005B0C85"/>
    <w:rsid w:val="005B1A0C"/>
    <w:rsid w:val="005B1EEA"/>
    <w:rsid w:val="005B2654"/>
    <w:rsid w:val="005B2A46"/>
    <w:rsid w:val="005B2D91"/>
    <w:rsid w:val="005B3842"/>
    <w:rsid w:val="005B38C2"/>
    <w:rsid w:val="005B393B"/>
    <w:rsid w:val="005B3AC8"/>
    <w:rsid w:val="005B4012"/>
    <w:rsid w:val="005B4096"/>
    <w:rsid w:val="005B44A1"/>
    <w:rsid w:val="005B465B"/>
    <w:rsid w:val="005B47F8"/>
    <w:rsid w:val="005B4EB0"/>
    <w:rsid w:val="005B4FEF"/>
    <w:rsid w:val="005B54C9"/>
    <w:rsid w:val="005B55BA"/>
    <w:rsid w:val="005B5BE9"/>
    <w:rsid w:val="005B5DFA"/>
    <w:rsid w:val="005B60C0"/>
    <w:rsid w:val="005B62BA"/>
    <w:rsid w:val="005B6893"/>
    <w:rsid w:val="005B6A16"/>
    <w:rsid w:val="005B6CF7"/>
    <w:rsid w:val="005B74DC"/>
    <w:rsid w:val="005C03B0"/>
    <w:rsid w:val="005C05FF"/>
    <w:rsid w:val="005C1942"/>
    <w:rsid w:val="005C1963"/>
    <w:rsid w:val="005C19AD"/>
    <w:rsid w:val="005C2C1B"/>
    <w:rsid w:val="005C35FD"/>
    <w:rsid w:val="005C36BD"/>
    <w:rsid w:val="005C380C"/>
    <w:rsid w:val="005C3A59"/>
    <w:rsid w:val="005C3D62"/>
    <w:rsid w:val="005C5059"/>
    <w:rsid w:val="005C554B"/>
    <w:rsid w:val="005C5A15"/>
    <w:rsid w:val="005C5D51"/>
    <w:rsid w:val="005C5F6F"/>
    <w:rsid w:val="005C6294"/>
    <w:rsid w:val="005C6812"/>
    <w:rsid w:val="005C6975"/>
    <w:rsid w:val="005C6A96"/>
    <w:rsid w:val="005C6AA3"/>
    <w:rsid w:val="005C6BC8"/>
    <w:rsid w:val="005C703E"/>
    <w:rsid w:val="005C7429"/>
    <w:rsid w:val="005C7524"/>
    <w:rsid w:val="005C774F"/>
    <w:rsid w:val="005C7FA8"/>
    <w:rsid w:val="005D0659"/>
    <w:rsid w:val="005D0737"/>
    <w:rsid w:val="005D0773"/>
    <w:rsid w:val="005D108B"/>
    <w:rsid w:val="005D11DB"/>
    <w:rsid w:val="005D1272"/>
    <w:rsid w:val="005D15D7"/>
    <w:rsid w:val="005D1825"/>
    <w:rsid w:val="005D18CC"/>
    <w:rsid w:val="005D1BB4"/>
    <w:rsid w:val="005D1BBF"/>
    <w:rsid w:val="005D240A"/>
    <w:rsid w:val="005D2E4A"/>
    <w:rsid w:val="005D2E9C"/>
    <w:rsid w:val="005D33C3"/>
    <w:rsid w:val="005D34D4"/>
    <w:rsid w:val="005D35D3"/>
    <w:rsid w:val="005D36AC"/>
    <w:rsid w:val="005D39CD"/>
    <w:rsid w:val="005D3C79"/>
    <w:rsid w:val="005D4379"/>
    <w:rsid w:val="005D4656"/>
    <w:rsid w:val="005D5525"/>
    <w:rsid w:val="005D5FDB"/>
    <w:rsid w:val="005D6265"/>
    <w:rsid w:val="005D6576"/>
    <w:rsid w:val="005D716C"/>
    <w:rsid w:val="005D738C"/>
    <w:rsid w:val="005D77A4"/>
    <w:rsid w:val="005D7857"/>
    <w:rsid w:val="005E0561"/>
    <w:rsid w:val="005E05E9"/>
    <w:rsid w:val="005E0732"/>
    <w:rsid w:val="005E0E06"/>
    <w:rsid w:val="005E17D4"/>
    <w:rsid w:val="005E223A"/>
    <w:rsid w:val="005E2660"/>
    <w:rsid w:val="005E2782"/>
    <w:rsid w:val="005E2A80"/>
    <w:rsid w:val="005E2CB7"/>
    <w:rsid w:val="005E30B2"/>
    <w:rsid w:val="005E30C8"/>
    <w:rsid w:val="005E32BA"/>
    <w:rsid w:val="005E34CF"/>
    <w:rsid w:val="005E35AA"/>
    <w:rsid w:val="005E3BF8"/>
    <w:rsid w:val="005E3F94"/>
    <w:rsid w:val="005E40D6"/>
    <w:rsid w:val="005E48CB"/>
    <w:rsid w:val="005E532A"/>
    <w:rsid w:val="005E556D"/>
    <w:rsid w:val="005E613B"/>
    <w:rsid w:val="005E62D8"/>
    <w:rsid w:val="005E659F"/>
    <w:rsid w:val="005E6654"/>
    <w:rsid w:val="005E6C7D"/>
    <w:rsid w:val="005E6FA3"/>
    <w:rsid w:val="005E70A1"/>
    <w:rsid w:val="005E70FA"/>
    <w:rsid w:val="005E7605"/>
    <w:rsid w:val="005E7B33"/>
    <w:rsid w:val="005E7B42"/>
    <w:rsid w:val="005E7E17"/>
    <w:rsid w:val="005F0344"/>
    <w:rsid w:val="005F04DE"/>
    <w:rsid w:val="005F0B5B"/>
    <w:rsid w:val="005F11E6"/>
    <w:rsid w:val="005F1397"/>
    <w:rsid w:val="005F22E3"/>
    <w:rsid w:val="005F24F3"/>
    <w:rsid w:val="005F2903"/>
    <w:rsid w:val="005F2ABF"/>
    <w:rsid w:val="005F32D0"/>
    <w:rsid w:val="005F4510"/>
    <w:rsid w:val="005F46CE"/>
    <w:rsid w:val="005F4813"/>
    <w:rsid w:val="005F485A"/>
    <w:rsid w:val="005F486A"/>
    <w:rsid w:val="005F57AB"/>
    <w:rsid w:val="005F5BDC"/>
    <w:rsid w:val="005F63B6"/>
    <w:rsid w:val="005F6ADB"/>
    <w:rsid w:val="005F6C4F"/>
    <w:rsid w:val="005F7205"/>
    <w:rsid w:val="005F7211"/>
    <w:rsid w:val="005F781F"/>
    <w:rsid w:val="005F7863"/>
    <w:rsid w:val="005F7DFA"/>
    <w:rsid w:val="005F7E5B"/>
    <w:rsid w:val="006009F7"/>
    <w:rsid w:val="00600E6D"/>
    <w:rsid w:val="006012AC"/>
    <w:rsid w:val="0060150A"/>
    <w:rsid w:val="00601691"/>
    <w:rsid w:val="00601861"/>
    <w:rsid w:val="0060198B"/>
    <w:rsid w:val="006019E9"/>
    <w:rsid w:val="00601AA7"/>
    <w:rsid w:val="00601D2F"/>
    <w:rsid w:val="00601F30"/>
    <w:rsid w:val="00602030"/>
    <w:rsid w:val="006025AE"/>
    <w:rsid w:val="006025D7"/>
    <w:rsid w:val="00602C32"/>
    <w:rsid w:val="00603097"/>
    <w:rsid w:val="0060361A"/>
    <w:rsid w:val="00603DEC"/>
    <w:rsid w:val="00604715"/>
    <w:rsid w:val="00604948"/>
    <w:rsid w:val="00604BFE"/>
    <w:rsid w:val="00604CBD"/>
    <w:rsid w:val="00604FE9"/>
    <w:rsid w:val="00605199"/>
    <w:rsid w:val="006054C3"/>
    <w:rsid w:val="006057E2"/>
    <w:rsid w:val="00605977"/>
    <w:rsid w:val="00605D2A"/>
    <w:rsid w:val="00605EC2"/>
    <w:rsid w:val="006065C0"/>
    <w:rsid w:val="0060663A"/>
    <w:rsid w:val="006067AD"/>
    <w:rsid w:val="00606A7C"/>
    <w:rsid w:val="0060713F"/>
    <w:rsid w:val="00607BE3"/>
    <w:rsid w:val="00608419"/>
    <w:rsid w:val="006107AF"/>
    <w:rsid w:val="00610E43"/>
    <w:rsid w:val="0061264A"/>
    <w:rsid w:val="006128B2"/>
    <w:rsid w:val="00612F9C"/>
    <w:rsid w:val="00613211"/>
    <w:rsid w:val="00613428"/>
    <w:rsid w:val="006134A1"/>
    <w:rsid w:val="00613671"/>
    <w:rsid w:val="00613989"/>
    <w:rsid w:val="00613B5E"/>
    <w:rsid w:val="00613CBF"/>
    <w:rsid w:val="0061433A"/>
    <w:rsid w:val="006147C8"/>
    <w:rsid w:val="00614E26"/>
    <w:rsid w:val="0061500D"/>
    <w:rsid w:val="00615B4D"/>
    <w:rsid w:val="0061639C"/>
    <w:rsid w:val="00616C9C"/>
    <w:rsid w:val="00616CE7"/>
    <w:rsid w:val="00616EC7"/>
    <w:rsid w:val="0061761D"/>
    <w:rsid w:val="0061764C"/>
    <w:rsid w:val="0061783F"/>
    <w:rsid w:val="006178CA"/>
    <w:rsid w:val="00617C69"/>
    <w:rsid w:val="00617CC3"/>
    <w:rsid w:val="00617D72"/>
    <w:rsid w:val="00617EE7"/>
    <w:rsid w:val="0062050F"/>
    <w:rsid w:val="006208D2"/>
    <w:rsid w:val="006211AB"/>
    <w:rsid w:val="00621256"/>
    <w:rsid w:val="00621B7F"/>
    <w:rsid w:val="00621C20"/>
    <w:rsid w:val="00621E3E"/>
    <w:rsid w:val="0062238D"/>
    <w:rsid w:val="00622537"/>
    <w:rsid w:val="00622B9D"/>
    <w:rsid w:val="00622E60"/>
    <w:rsid w:val="006239D1"/>
    <w:rsid w:val="00623F50"/>
    <w:rsid w:val="00624253"/>
    <w:rsid w:val="006243E3"/>
    <w:rsid w:val="00624669"/>
    <w:rsid w:val="006247E8"/>
    <w:rsid w:val="00625140"/>
    <w:rsid w:val="006251C3"/>
    <w:rsid w:val="0062547A"/>
    <w:rsid w:val="00625557"/>
    <w:rsid w:val="006255DB"/>
    <w:rsid w:val="00625D7E"/>
    <w:rsid w:val="006263DE"/>
    <w:rsid w:val="00626A2A"/>
    <w:rsid w:val="00627036"/>
    <w:rsid w:val="00627716"/>
    <w:rsid w:val="00630155"/>
    <w:rsid w:val="00630277"/>
    <w:rsid w:val="00630384"/>
    <w:rsid w:val="00630923"/>
    <w:rsid w:val="00630AF5"/>
    <w:rsid w:val="00630EC2"/>
    <w:rsid w:val="00631020"/>
    <w:rsid w:val="0063142F"/>
    <w:rsid w:val="006317AA"/>
    <w:rsid w:val="006319E8"/>
    <w:rsid w:val="0063231E"/>
    <w:rsid w:val="00632610"/>
    <w:rsid w:val="00632B54"/>
    <w:rsid w:val="0063489B"/>
    <w:rsid w:val="00634FFA"/>
    <w:rsid w:val="00635270"/>
    <w:rsid w:val="006353CC"/>
    <w:rsid w:val="00635485"/>
    <w:rsid w:val="006357E2"/>
    <w:rsid w:val="00636390"/>
    <w:rsid w:val="00636D89"/>
    <w:rsid w:val="0063705A"/>
    <w:rsid w:val="00637E71"/>
    <w:rsid w:val="00640010"/>
    <w:rsid w:val="0064059F"/>
    <w:rsid w:val="00640C7E"/>
    <w:rsid w:val="00641663"/>
    <w:rsid w:val="00641685"/>
    <w:rsid w:val="0064175F"/>
    <w:rsid w:val="00641C22"/>
    <w:rsid w:val="00641D98"/>
    <w:rsid w:val="00641EA0"/>
    <w:rsid w:val="00642391"/>
    <w:rsid w:val="00642415"/>
    <w:rsid w:val="006425F6"/>
    <w:rsid w:val="00642E5E"/>
    <w:rsid w:val="00643215"/>
    <w:rsid w:val="006434B8"/>
    <w:rsid w:val="00644131"/>
    <w:rsid w:val="00644C19"/>
    <w:rsid w:val="00645059"/>
    <w:rsid w:val="0064509C"/>
    <w:rsid w:val="0064600C"/>
    <w:rsid w:val="006463E6"/>
    <w:rsid w:val="006465CC"/>
    <w:rsid w:val="00646A30"/>
    <w:rsid w:val="00646C1E"/>
    <w:rsid w:val="00647D01"/>
    <w:rsid w:val="00647FEE"/>
    <w:rsid w:val="00650879"/>
    <w:rsid w:val="00650CA7"/>
    <w:rsid w:val="00651638"/>
    <w:rsid w:val="00651A3B"/>
    <w:rsid w:val="00651CE2"/>
    <w:rsid w:val="00652416"/>
    <w:rsid w:val="0065245D"/>
    <w:rsid w:val="00652F17"/>
    <w:rsid w:val="00653CF8"/>
    <w:rsid w:val="006544B1"/>
    <w:rsid w:val="006549DA"/>
    <w:rsid w:val="006552F1"/>
    <w:rsid w:val="006553BC"/>
    <w:rsid w:val="00655412"/>
    <w:rsid w:val="00655571"/>
    <w:rsid w:val="00655FE0"/>
    <w:rsid w:val="006563F2"/>
    <w:rsid w:val="006564FC"/>
    <w:rsid w:val="00656A10"/>
    <w:rsid w:val="00656FB8"/>
    <w:rsid w:val="006573D8"/>
    <w:rsid w:val="006578B2"/>
    <w:rsid w:val="006579CF"/>
    <w:rsid w:val="00657DA7"/>
    <w:rsid w:val="00657E04"/>
    <w:rsid w:val="00657F88"/>
    <w:rsid w:val="0066027A"/>
    <w:rsid w:val="006603ED"/>
    <w:rsid w:val="00660462"/>
    <w:rsid w:val="00660BA1"/>
    <w:rsid w:val="006611C7"/>
    <w:rsid w:val="00661E75"/>
    <w:rsid w:val="006635A7"/>
    <w:rsid w:val="00663D26"/>
    <w:rsid w:val="00663E8F"/>
    <w:rsid w:val="00664357"/>
    <w:rsid w:val="00664B64"/>
    <w:rsid w:val="00664C5D"/>
    <w:rsid w:val="0066505A"/>
    <w:rsid w:val="00665BA8"/>
    <w:rsid w:val="00665C14"/>
    <w:rsid w:val="00665CAD"/>
    <w:rsid w:val="00665D24"/>
    <w:rsid w:val="00665DBC"/>
    <w:rsid w:val="0066604B"/>
    <w:rsid w:val="00666245"/>
    <w:rsid w:val="00666426"/>
    <w:rsid w:val="00666DC2"/>
    <w:rsid w:val="006673A0"/>
    <w:rsid w:val="006675F2"/>
    <w:rsid w:val="00667755"/>
    <w:rsid w:val="00667B34"/>
    <w:rsid w:val="00667E59"/>
    <w:rsid w:val="006704F5"/>
    <w:rsid w:val="006706E4"/>
    <w:rsid w:val="00670AC8"/>
    <w:rsid w:val="00671196"/>
    <w:rsid w:val="0067124E"/>
    <w:rsid w:val="006722FA"/>
    <w:rsid w:val="006723FE"/>
    <w:rsid w:val="00672B48"/>
    <w:rsid w:val="00672C98"/>
    <w:rsid w:val="00672D79"/>
    <w:rsid w:val="00672E25"/>
    <w:rsid w:val="00673575"/>
    <w:rsid w:val="00673968"/>
    <w:rsid w:val="00673BE1"/>
    <w:rsid w:val="00673D97"/>
    <w:rsid w:val="00673EB2"/>
    <w:rsid w:val="006742D2"/>
    <w:rsid w:val="0067436A"/>
    <w:rsid w:val="00675D14"/>
    <w:rsid w:val="00675EC4"/>
    <w:rsid w:val="006762CC"/>
    <w:rsid w:val="00676D5C"/>
    <w:rsid w:val="00677A70"/>
    <w:rsid w:val="006800C0"/>
    <w:rsid w:val="00680B6D"/>
    <w:rsid w:val="00680D2B"/>
    <w:rsid w:val="00680E8A"/>
    <w:rsid w:val="00681353"/>
    <w:rsid w:val="00681615"/>
    <w:rsid w:val="00681FBD"/>
    <w:rsid w:val="0068205D"/>
    <w:rsid w:val="0068216D"/>
    <w:rsid w:val="006827DC"/>
    <w:rsid w:val="006828BF"/>
    <w:rsid w:val="00682D07"/>
    <w:rsid w:val="00683121"/>
    <w:rsid w:val="00683165"/>
    <w:rsid w:val="006832A5"/>
    <w:rsid w:val="00683382"/>
    <w:rsid w:val="00683525"/>
    <w:rsid w:val="00683EF4"/>
    <w:rsid w:val="00683F96"/>
    <w:rsid w:val="0068451C"/>
    <w:rsid w:val="00684CDF"/>
    <w:rsid w:val="00684CFE"/>
    <w:rsid w:val="00684D6A"/>
    <w:rsid w:val="00685452"/>
    <w:rsid w:val="006856EB"/>
    <w:rsid w:val="00685B4B"/>
    <w:rsid w:val="00685C2A"/>
    <w:rsid w:val="00685D03"/>
    <w:rsid w:val="0068690E"/>
    <w:rsid w:val="006869B8"/>
    <w:rsid w:val="00686A58"/>
    <w:rsid w:val="00686BE6"/>
    <w:rsid w:val="00686D3B"/>
    <w:rsid w:val="0068790D"/>
    <w:rsid w:val="00687AA2"/>
    <w:rsid w:val="00687E03"/>
    <w:rsid w:val="00690ED2"/>
    <w:rsid w:val="00691745"/>
    <w:rsid w:val="006922D4"/>
    <w:rsid w:val="00692976"/>
    <w:rsid w:val="00692AE1"/>
    <w:rsid w:val="00692CF8"/>
    <w:rsid w:val="0069361E"/>
    <w:rsid w:val="00693791"/>
    <w:rsid w:val="00693F1C"/>
    <w:rsid w:val="0069404F"/>
    <w:rsid w:val="006942A6"/>
    <w:rsid w:val="00694C01"/>
    <w:rsid w:val="00694DEE"/>
    <w:rsid w:val="006950E9"/>
    <w:rsid w:val="006951D2"/>
    <w:rsid w:val="006956BF"/>
    <w:rsid w:val="00695896"/>
    <w:rsid w:val="00696B01"/>
    <w:rsid w:val="00696C82"/>
    <w:rsid w:val="006973E3"/>
    <w:rsid w:val="00697619"/>
    <w:rsid w:val="00697627"/>
    <w:rsid w:val="0069768B"/>
    <w:rsid w:val="006976F4"/>
    <w:rsid w:val="00697888"/>
    <w:rsid w:val="006A091C"/>
    <w:rsid w:val="006A10E3"/>
    <w:rsid w:val="006A230D"/>
    <w:rsid w:val="006A28AC"/>
    <w:rsid w:val="006A291A"/>
    <w:rsid w:val="006A32CD"/>
    <w:rsid w:val="006A38BD"/>
    <w:rsid w:val="006A3E7A"/>
    <w:rsid w:val="006A450B"/>
    <w:rsid w:val="006A456B"/>
    <w:rsid w:val="006A50F3"/>
    <w:rsid w:val="006A5C90"/>
    <w:rsid w:val="006A5FE6"/>
    <w:rsid w:val="006A6196"/>
    <w:rsid w:val="006A62A6"/>
    <w:rsid w:val="006A6584"/>
    <w:rsid w:val="006A66C2"/>
    <w:rsid w:val="006A6CED"/>
    <w:rsid w:val="006A7BAE"/>
    <w:rsid w:val="006B040F"/>
    <w:rsid w:val="006B0874"/>
    <w:rsid w:val="006B0A94"/>
    <w:rsid w:val="006B13CE"/>
    <w:rsid w:val="006B19B3"/>
    <w:rsid w:val="006B1BEB"/>
    <w:rsid w:val="006B27A0"/>
    <w:rsid w:val="006B28AA"/>
    <w:rsid w:val="006B2E94"/>
    <w:rsid w:val="006B2FC4"/>
    <w:rsid w:val="006B323B"/>
    <w:rsid w:val="006B4225"/>
    <w:rsid w:val="006B4798"/>
    <w:rsid w:val="006B4A76"/>
    <w:rsid w:val="006B4EC3"/>
    <w:rsid w:val="006B4F1A"/>
    <w:rsid w:val="006B515B"/>
    <w:rsid w:val="006B51B9"/>
    <w:rsid w:val="006B5792"/>
    <w:rsid w:val="006B61B0"/>
    <w:rsid w:val="006B709C"/>
    <w:rsid w:val="006C05C7"/>
    <w:rsid w:val="006C075F"/>
    <w:rsid w:val="006C0CFE"/>
    <w:rsid w:val="006C1289"/>
    <w:rsid w:val="006C16AD"/>
    <w:rsid w:val="006C2702"/>
    <w:rsid w:val="006C28BD"/>
    <w:rsid w:val="006C2E11"/>
    <w:rsid w:val="006C2EC1"/>
    <w:rsid w:val="006C30C6"/>
    <w:rsid w:val="006C348E"/>
    <w:rsid w:val="006C3951"/>
    <w:rsid w:val="006C3B7B"/>
    <w:rsid w:val="006C3CAF"/>
    <w:rsid w:val="006C3FA0"/>
    <w:rsid w:val="006C4289"/>
    <w:rsid w:val="006C440F"/>
    <w:rsid w:val="006C44EE"/>
    <w:rsid w:val="006C4514"/>
    <w:rsid w:val="006C4DBC"/>
    <w:rsid w:val="006C523C"/>
    <w:rsid w:val="006C5A9E"/>
    <w:rsid w:val="006C5CCD"/>
    <w:rsid w:val="006C5F5D"/>
    <w:rsid w:val="006C62B1"/>
    <w:rsid w:val="006C6B34"/>
    <w:rsid w:val="006C6BDF"/>
    <w:rsid w:val="006C6F02"/>
    <w:rsid w:val="006C71C5"/>
    <w:rsid w:val="006C7296"/>
    <w:rsid w:val="006C7B71"/>
    <w:rsid w:val="006C7DC5"/>
    <w:rsid w:val="006D0242"/>
    <w:rsid w:val="006D0BB2"/>
    <w:rsid w:val="006D0E23"/>
    <w:rsid w:val="006D0E9B"/>
    <w:rsid w:val="006D172B"/>
    <w:rsid w:val="006D25EF"/>
    <w:rsid w:val="006D2BDC"/>
    <w:rsid w:val="006D2C38"/>
    <w:rsid w:val="006D33F3"/>
    <w:rsid w:val="006D4457"/>
    <w:rsid w:val="006D47E7"/>
    <w:rsid w:val="006D50B7"/>
    <w:rsid w:val="006D50FA"/>
    <w:rsid w:val="006D5CAE"/>
    <w:rsid w:val="006D5E5D"/>
    <w:rsid w:val="006D66F3"/>
    <w:rsid w:val="006D678C"/>
    <w:rsid w:val="006D6F0A"/>
    <w:rsid w:val="006D725C"/>
    <w:rsid w:val="006D7290"/>
    <w:rsid w:val="006D7842"/>
    <w:rsid w:val="006D7B7B"/>
    <w:rsid w:val="006E0037"/>
    <w:rsid w:val="006E0354"/>
    <w:rsid w:val="006E072D"/>
    <w:rsid w:val="006E0CB2"/>
    <w:rsid w:val="006E102B"/>
    <w:rsid w:val="006E1812"/>
    <w:rsid w:val="006E1A18"/>
    <w:rsid w:val="006E1DA6"/>
    <w:rsid w:val="006E2828"/>
    <w:rsid w:val="006E33D8"/>
    <w:rsid w:val="006E35A7"/>
    <w:rsid w:val="006E3670"/>
    <w:rsid w:val="006E3784"/>
    <w:rsid w:val="006E399C"/>
    <w:rsid w:val="006E3A76"/>
    <w:rsid w:val="006E41FB"/>
    <w:rsid w:val="006E47DB"/>
    <w:rsid w:val="006E4D06"/>
    <w:rsid w:val="006E4F3D"/>
    <w:rsid w:val="006E563B"/>
    <w:rsid w:val="006E5AC7"/>
    <w:rsid w:val="006E5BED"/>
    <w:rsid w:val="006E6617"/>
    <w:rsid w:val="006E6634"/>
    <w:rsid w:val="006E6E24"/>
    <w:rsid w:val="006E7365"/>
    <w:rsid w:val="006E753A"/>
    <w:rsid w:val="006E7665"/>
    <w:rsid w:val="006F00E4"/>
    <w:rsid w:val="006F0340"/>
    <w:rsid w:val="006F0348"/>
    <w:rsid w:val="006F054D"/>
    <w:rsid w:val="006F082E"/>
    <w:rsid w:val="006F091A"/>
    <w:rsid w:val="006F156B"/>
    <w:rsid w:val="006F1CF1"/>
    <w:rsid w:val="006F23A9"/>
    <w:rsid w:val="006F249B"/>
    <w:rsid w:val="006F2769"/>
    <w:rsid w:val="006F2985"/>
    <w:rsid w:val="006F2F19"/>
    <w:rsid w:val="006F32B0"/>
    <w:rsid w:val="006F3810"/>
    <w:rsid w:val="006F3C53"/>
    <w:rsid w:val="006F44EA"/>
    <w:rsid w:val="006F45E4"/>
    <w:rsid w:val="006F46F1"/>
    <w:rsid w:val="006F5322"/>
    <w:rsid w:val="006F5CD3"/>
    <w:rsid w:val="006F6CCA"/>
    <w:rsid w:val="006F71AF"/>
    <w:rsid w:val="006F7993"/>
    <w:rsid w:val="006F7D0F"/>
    <w:rsid w:val="006F7E66"/>
    <w:rsid w:val="007004D7"/>
    <w:rsid w:val="00700F3C"/>
    <w:rsid w:val="00701134"/>
    <w:rsid w:val="00701393"/>
    <w:rsid w:val="00701447"/>
    <w:rsid w:val="00701DD5"/>
    <w:rsid w:val="007022BE"/>
    <w:rsid w:val="00702379"/>
    <w:rsid w:val="00702633"/>
    <w:rsid w:val="007026B7"/>
    <w:rsid w:val="00702742"/>
    <w:rsid w:val="00703317"/>
    <w:rsid w:val="00704951"/>
    <w:rsid w:val="007052E5"/>
    <w:rsid w:val="007053DD"/>
    <w:rsid w:val="0070542B"/>
    <w:rsid w:val="00705875"/>
    <w:rsid w:val="00705DCF"/>
    <w:rsid w:val="0070630B"/>
    <w:rsid w:val="0070716F"/>
    <w:rsid w:val="0070723C"/>
    <w:rsid w:val="007076F1"/>
    <w:rsid w:val="007079FE"/>
    <w:rsid w:val="00707CDA"/>
    <w:rsid w:val="00707CE3"/>
    <w:rsid w:val="007103D1"/>
    <w:rsid w:val="0071195F"/>
    <w:rsid w:val="007138FD"/>
    <w:rsid w:val="0071392A"/>
    <w:rsid w:val="00713D14"/>
    <w:rsid w:val="00714211"/>
    <w:rsid w:val="007144AD"/>
    <w:rsid w:val="00714F6F"/>
    <w:rsid w:val="007152F6"/>
    <w:rsid w:val="00715626"/>
    <w:rsid w:val="007158DF"/>
    <w:rsid w:val="00715BD1"/>
    <w:rsid w:val="00715C3B"/>
    <w:rsid w:val="00715F63"/>
    <w:rsid w:val="00716254"/>
    <w:rsid w:val="007162B0"/>
    <w:rsid w:val="00716517"/>
    <w:rsid w:val="0071652C"/>
    <w:rsid w:val="00716E22"/>
    <w:rsid w:val="00716E4D"/>
    <w:rsid w:val="00716E8C"/>
    <w:rsid w:val="00717581"/>
    <w:rsid w:val="007178A7"/>
    <w:rsid w:val="00717C72"/>
    <w:rsid w:val="00717CEC"/>
    <w:rsid w:val="0072010E"/>
    <w:rsid w:val="00720335"/>
    <w:rsid w:val="00720A64"/>
    <w:rsid w:val="00720AE8"/>
    <w:rsid w:val="00720C15"/>
    <w:rsid w:val="007214F5"/>
    <w:rsid w:val="007220D1"/>
    <w:rsid w:val="007221FA"/>
    <w:rsid w:val="007232A3"/>
    <w:rsid w:val="0072376F"/>
    <w:rsid w:val="00723EC5"/>
    <w:rsid w:val="0072466E"/>
    <w:rsid w:val="0072540A"/>
    <w:rsid w:val="007258EB"/>
    <w:rsid w:val="00725BDD"/>
    <w:rsid w:val="00725C9C"/>
    <w:rsid w:val="00725D24"/>
    <w:rsid w:val="00726482"/>
    <w:rsid w:val="00726578"/>
    <w:rsid w:val="007266F9"/>
    <w:rsid w:val="00726ADD"/>
    <w:rsid w:val="007273DE"/>
    <w:rsid w:val="007277C4"/>
    <w:rsid w:val="00727850"/>
    <w:rsid w:val="0072789D"/>
    <w:rsid w:val="00727E46"/>
    <w:rsid w:val="007314DB"/>
    <w:rsid w:val="0073186E"/>
    <w:rsid w:val="0073239F"/>
    <w:rsid w:val="0073240E"/>
    <w:rsid w:val="007326A2"/>
    <w:rsid w:val="00732847"/>
    <w:rsid w:val="00732A34"/>
    <w:rsid w:val="00732BB7"/>
    <w:rsid w:val="00732C86"/>
    <w:rsid w:val="0073355F"/>
    <w:rsid w:val="007341AB"/>
    <w:rsid w:val="0073443D"/>
    <w:rsid w:val="007344A6"/>
    <w:rsid w:val="00734612"/>
    <w:rsid w:val="00735ACC"/>
    <w:rsid w:val="00735DD1"/>
    <w:rsid w:val="00735F00"/>
    <w:rsid w:val="00735FD5"/>
    <w:rsid w:val="00737E93"/>
    <w:rsid w:val="00737F76"/>
    <w:rsid w:val="007409B0"/>
    <w:rsid w:val="00740F9B"/>
    <w:rsid w:val="007415FA"/>
    <w:rsid w:val="0074175E"/>
    <w:rsid w:val="00741832"/>
    <w:rsid w:val="00741EC6"/>
    <w:rsid w:val="007420F2"/>
    <w:rsid w:val="0074213B"/>
    <w:rsid w:val="00742368"/>
    <w:rsid w:val="007427FF"/>
    <w:rsid w:val="007428E5"/>
    <w:rsid w:val="00742C07"/>
    <w:rsid w:val="007432CC"/>
    <w:rsid w:val="0074339E"/>
    <w:rsid w:val="0074372E"/>
    <w:rsid w:val="00743A90"/>
    <w:rsid w:val="00743E39"/>
    <w:rsid w:val="00744087"/>
    <w:rsid w:val="00744B0F"/>
    <w:rsid w:val="00744CDE"/>
    <w:rsid w:val="00745532"/>
    <w:rsid w:val="0074562C"/>
    <w:rsid w:val="0074589D"/>
    <w:rsid w:val="00745BFB"/>
    <w:rsid w:val="00745C04"/>
    <w:rsid w:val="00745C2C"/>
    <w:rsid w:val="00745CA8"/>
    <w:rsid w:val="00745CCE"/>
    <w:rsid w:val="00746E14"/>
    <w:rsid w:val="00747024"/>
    <w:rsid w:val="007473C3"/>
    <w:rsid w:val="007478FE"/>
    <w:rsid w:val="00750A6F"/>
    <w:rsid w:val="00750BE0"/>
    <w:rsid w:val="00750D0B"/>
    <w:rsid w:val="00751438"/>
    <w:rsid w:val="007523B9"/>
    <w:rsid w:val="00752909"/>
    <w:rsid w:val="00752AC8"/>
    <w:rsid w:val="00752EB5"/>
    <w:rsid w:val="00753199"/>
    <w:rsid w:val="00753256"/>
    <w:rsid w:val="007533BE"/>
    <w:rsid w:val="007534D1"/>
    <w:rsid w:val="00753C2B"/>
    <w:rsid w:val="007543D7"/>
    <w:rsid w:val="0075450F"/>
    <w:rsid w:val="00754919"/>
    <w:rsid w:val="00755084"/>
    <w:rsid w:val="00755665"/>
    <w:rsid w:val="00755C2C"/>
    <w:rsid w:val="00755D85"/>
    <w:rsid w:val="00755EA6"/>
    <w:rsid w:val="0075655D"/>
    <w:rsid w:val="00756A7D"/>
    <w:rsid w:val="007574D1"/>
    <w:rsid w:val="007600A1"/>
    <w:rsid w:val="0076031A"/>
    <w:rsid w:val="007603D8"/>
    <w:rsid w:val="007608A9"/>
    <w:rsid w:val="00760C7B"/>
    <w:rsid w:val="00760D97"/>
    <w:rsid w:val="007615F0"/>
    <w:rsid w:val="00761BFD"/>
    <w:rsid w:val="00761E15"/>
    <w:rsid w:val="0076219A"/>
    <w:rsid w:val="00762723"/>
    <w:rsid w:val="00762A76"/>
    <w:rsid w:val="00762D7D"/>
    <w:rsid w:val="0076304B"/>
    <w:rsid w:val="0076472E"/>
    <w:rsid w:val="00764BDE"/>
    <w:rsid w:val="0076563B"/>
    <w:rsid w:val="00765CD7"/>
    <w:rsid w:val="00766F22"/>
    <w:rsid w:val="00766FE3"/>
    <w:rsid w:val="00767957"/>
    <w:rsid w:val="007703ED"/>
    <w:rsid w:val="00770669"/>
    <w:rsid w:val="00770A87"/>
    <w:rsid w:val="00770D2A"/>
    <w:rsid w:val="00770E4D"/>
    <w:rsid w:val="007716F2"/>
    <w:rsid w:val="007722A5"/>
    <w:rsid w:val="00772735"/>
    <w:rsid w:val="007730BC"/>
    <w:rsid w:val="0077329B"/>
    <w:rsid w:val="007737A9"/>
    <w:rsid w:val="00773816"/>
    <w:rsid w:val="00774B9A"/>
    <w:rsid w:val="00774C40"/>
    <w:rsid w:val="00775300"/>
    <w:rsid w:val="007756D4"/>
    <w:rsid w:val="00775A39"/>
    <w:rsid w:val="0077659B"/>
    <w:rsid w:val="00776778"/>
    <w:rsid w:val="0077687D"/>
    <w:rsid w:val="007769C9"/>
    <w:rsid w:val="00776C96"/>
    <w:rsid w:val="00777043"/>
    <w:rsid w:val="00777418"/>
    <w:rsid w:val="007774D1"/>
    <w:rsid w:val="0077763B"/>
    <w:rsid w:val="00777B71"/>
    <w:rsid w:val="007804E7"/>
    <w:rsid w:val="00780649"/>
    <w:rsid w:val="00780914"/>
    <w:rsid w:val="00780CB6"/>
    <w:rsid w:val="00780D27"/>
    <w:rsid w:val="007810EA"/>
    <w:rsid w:val="007815CF"/>
    <w:rsid w:val="00781790"/>
    <w:rsid w:val="00781990"/>
    <w:rsid w:val="00781E99"/>
    <w:rsid w:val="00782BF1"/>
    <w:rsid w:val="007834B6"/>
    <w:rsid w:val="00783523"/>
    <w:rsid w:val="00783B0B"/>
    <w:rsid w:val="00783DC5"/>
    <w:rsid w:val="00784171"/>
    <w:rsid w:val="00784562"/>
    <w:rsid w:val="0078566E"/>
    <w:rsid w:val="00786B69"/>
    <w:rsid w:val="007874F9"/>
    <w:rsid w:val="0078780E"/>
    <w:rsid w:val="007878BC"/>
    <w:rsid w:val="007905E8"/>
    <w:rsid w:val="00790A64"/>
    <w:rsid w:val="00790F21"/>
    <w:rsid w:val="007914B0"/>
    <w:rsid w:val="007918B9"/>
    <w:rsid w:val="00791E4E"/>
    <w:rsid w:val="00792203"/>
    <w:rsid w:val="007924C2"/>
    <w:rsid w:val="00792978"/>
    <w:rsid w:val="00793433"/>
    <w:rsid w:val="00793C50"/>
    <w:rsid w:val="00793CDE"/>
    <w:rsid w:val="00793FD6"/>
    <w:rsid w:val="00795070"/>
    <w:rsid w:val="00795D79"/>
    <w:rsid w:val="0079657A"/>
    <w:rsid w:val="00796BCB"/>
    <w:rsid w:val="00797AB7"/>
    <w:rsid w:val="00797C43"/>
    <w:rsid w:val="00797F08"/>
    <w:rsid w:val="007A0111"/>
    <w:rsid w:val="007A0482"/>
    <w:rsid w:val="007A0871"/>
    <w:rsid w:val="007A0EA3"/>
    <w:rsid w:val="007A1E75"/>
    <w:rsid w:val="007A1FED"/>
    <w:rsid w:val="007A21F7"/>
    <w:rsid w:val="007A24A8"/>
    <w:rsid w:val="007A24E5"/>
    <w:rsid w:val="007A2ABE"/>
    <w:rsid w:val="007A2B42"/>
    <w:rsid w:val="007A2B95"/>
    <w:rsid w:val="007A2E3C"/>
    <w:rsid w:val="007A372C"/>
    <w:rsid w:val="007A453B"/>
    <w:rsid w:val="007A455E"/>
    <w:rsid w:val="007A482B"/>
    <w:rsid w:val="007A4870"/>
    <w:rsid w:val="007A5066"/>
    <w:rsid w:val="007A516A"/>
    <w:rsid w:val="007A5333"/>
    <w:rsid w:val="007A5380"/>
    <w:rsid w:val="007A560F"/>
    <w:rsid w:val="007A5AD8"/>
    <w:rsid w:val="007A605D"/>
    <w:rsid w:val="007A62A1"/>
    <w:rsid w:val="007A67F2"/>
    <w:rsid w:val="007A69D9"/>
    <w:rsid w:val="007A6D19"/>
    <w:rsid w:val="007A6D6F"/>
    <w:rsid w:val="007A7223"/>
    <w:rsid w:val="007A795E"/>
    <w:rsid w:val="007A7A29"/>
    <w:rsid w:val="007B01DD"/>
    <w:rsid w:val="007B0579"/>
    <w:rsid w:val="007B0681"/>
    <w:rsid w:val="007B0704"/>
    <w:rsid w:val="007B141C"/>
    <w:rsid w:val="007B1BF6"/>
    <w:rsid w:val="007B20E7"/>
    <w:rsid w:val="007B210E"/>
    <w:rsid w:val="007B24D2"/>
    <w:rsid w:val="007B347C"/>
    <w:rsid w:val="007B39A5"/>
    <w:rsid w:val="007B3AC0"/>
    <w:rsid w:val="007B416B"/>
    <w:rsid w:val="007B440A"/>
    <w:rsid w:val="007B4EBE"/>
    <w:rsid w:val="007B51CE"/>
    <w:rsid w:val="007B5517"/>
    <w:rsid w:val="007B5838"/>
    <w:rsid w:val="007B5C78"/>
    <w:rsid w:val="007B5F58"/>
    <w:rsid w:val="007B624C"/>
    <w:rsid w:val="007B63B0"/>
    <w:rsid w:val="007B63E0"/>
    <w:rsid w:val="007B6459"/>
    <w:rsid w:val="007B6650"/>
    <w:rsid w:val="007B6CA1"/>
    <w:rsid w:val="007B76C2"/>
    <w:rsid w:val="007B779F"/>
    <w:rsid w:val="007B7CB9"/>
    <w:rsid w:val="007B7D1F"/>
    <w:rsid w:val="007B7D49"/>
    <w:rsid w:val="007C0E70"/>
    <w:rsid w:val="007C10C3"/>
    <w:rsid w:val="007C119D"/>
    <w:rsid w:val="007C1281"/>
    <w:rsid w:val="007C1E51"/>
    <w:rsid w:val="007C2EFF"/>
    <w:rsid w:val="007C385C"/>
    <w:rsid w:val="007C3A9D"/>
    <w:rsid w:val="007C3F56"/>
    <w:rsid w:val="007C4060"/>
    <w:rsid w:val="007C4372"/>
    <w:rsid w:val="007C4410"/>
    <w:rsid w:val="007C4A55"/>
    <w:rsid w:val="007C5168"/>
    <w:rsid w:val="007C5FFB"/>
    <w:rsid w:val="007C645E"/>
    <w:rsid w:val="007C7069"/>
    <w:rsid w:val="007C7591"/>
    <w:rsid w:val="007C78AF"/>
    <w:rsid w:val="007C7E42"/>
    <w:rsid w:val="007D0246"/>
    <w:rsid w:val="007D02CB"/>
    <w:rsid w:val="007D066A"/>
    <w:rsid w:val="007D0EE5"/>
    <w:rsid w:val="007D15CA"/>
    <w:rsid w:val="007D18B0"/>
    <w:rsid w:val="007D1A6E"/>
    <w:rsid w:val="007D1FE0"/>
    <w:rsid w:val="007D2277"/>
    <w:rsid w:val="007D2302"/>
    <w:rsid w:val="007D2812"/>
    <w:rsid w:val="007D370A"/>
    <w:rsid w:val="007D378E"/>
    <w:rsid w:val="007D3902"/>
    <w:rsid w:val="007D3EAE"/>
    <w:rsid w:val="007D3FBC"/>
    <w:rsid w:val="007D4166"/>
    <w:rsid w:val="007D44A9"/>
    <w:rsid w:val="007D4519"/>
    <w:rsid w:val="007D46C8"/>
    <w:rsid w:val="007D4854"/>
    <w:rsid w:val="007D5256"/>
    <w:rsid w:val="007D5F32"/>
    <w:rsid w:val="007D6690"/>
    <w:rsid w:val="007D6A1A"/>
    <w:rsid w:val="007D6DD0"/>
    <w:rsid w:val="007D6E38"/>
    <w:rsid w:val="007D700C"/>
    <w:rsid w:val="007D7986"/>
    <w:rsid w:val="007D7EF7"/>
    <w:rsid w:val="007E02C3"/>
    <w:rsid w:val="007E083A"/>
    <w:rsid w:val="007E0A83"/>
    <w:rsid w:val="007E0F26"/>
    <w:rsid w:val="007E11E8"/>
    <w:rsid w:val="007E152A"/>
    <w:rsid w:val="007E16B2"/>
    <w:rsid w:val="007E1CD9"/>
    <w:rsid w:val="007E24DF"/>
    <w:rsid w:val="007E33E6"/>
    <w:rsid w:val="007E3533"/>
    <w:rsid w:val="007E367F"/>
    <w:rsid w:val="007E370A"/>
    <w:rsid w:val="007E4B0D"/>
    <w:rsid w:val="007E4BE5"/>
    <w:rsid w:val="007E563D"/>
    <w:rsid w:val="007E57F6"/>
    <w:rsid w:val="007E5AB9"/>
    <w:rsid w:val="007E6379"/>
    <w:rsid w:val="007E6488"/>
    <w:rsid w:val="007E66EB"/>
    <w:rsid w:val="007E6942"/>
    <w:rsid w:val="007E7118"/>
    <w:rsid w:val="007E74DD"/>
    <w:rsid w:val="007E77C1"/>
    <w:rsid w:val="007E78A6"/>
    <w:rsid w:val="007E7B7F"/>
    <w:rsid w:val="007E7E0B"/>
    <w:rsid w:val="007F050F"/>
    <w:rsid w:val="007F0720"/>
    <w:rsid w:val="007F113A"/>
    <w:rsid w:val="007F1C0D"/>
    <w:rsid w:val="007F20DD"/>
    <w:rsid w:val="007F23D1"/>
    <w:rsid w:val="007F2DC6"/>
    <w:rsid w:val="007F3340"/>
    <w:rsid w:val="007F3A07"/>
    <w:rsid w:val="007F3EF1"/>
    <w:rsid w:val="007F4FEE"/>
    <w:rsid w:val="007F5537"/>
    <w:rsid w:val="007F6261"/>
    <w:rsid w:val="007F63E3"/>
    <w:rsid w:val="007F6525"/>
    <w:rsid w:val="007F6B63"/>
    <w:rsid w:val="007F6D5D"/>
    <w:rsid w:val="007F70DA"/>
    <w:rsid w:val="007F716C"/>
    <w:rsid w:val="007F72F9"/>
    <w:rsid w:val="007F74FC"/>
    <w:rsid w:val="007F7B3C"/>
    <w:rsid w:val="008000E5"/>
    <w:rsid w:val="008002A2"/>
    <w:rsid w:val="0080065B"/>
    <w:rsid w:val="00800735"/>
    <w:rsid w:val="0080075A"/>
    <w:rsid w:val="00800B5E"/>
    <w:rsid w:val="00800E2F"/>
    <w:rsid w:val="00801212"/>
    <w:rsid w:val="00801A30"/>
    <w:rsid w:val="008024EE"/>
    <w:rsid w:val="00802A51"/>
    <w:rsid w:val="0080392D"/>
    <w:rsid w:val="0080484D"/>
    <w:rsid w:val="00804EB4"/>
    <w:rsid w:val="00804FAA"/>
    <w:rsid w:val="008054D1"/>
    <w:rsid w:val="00805A8A"/>
    <w:rsid w:val="00805AC6"/>
    <w:rsid w:val="008060B5"/>
    <w:rsid w:val="008064EA"/>
    <w:rsid w:val="0080686A"/>
    <w:rsid w:val="008078F6"/>
    <w:rsid w:val="00807967"/>
    <w:rsid w:val="00807E5B"/>
    <w:rsid w:val="00810099"/>
    <w:rsid w:val="00810545"/>
    <w:rsid w:val="00810566"/>
    <w:rsid w:val="00810B81"/>
    <w:rsid w:val="00810C04"/>
    <w:rsid w:val="008111DB"/>
    <w:rsid w:val="0081172B"/>
    <w:rsid w:val="00813706"/>
    <w:rsid w:val="008137C2"/>
    <w:rsid w:val="00813A31"/>
    <w:rsid w:val="00813DE4"/>
    <w:rsid w:val="00814012"/>
    <w:rsid w:val="00814ACF"/>
    <w:rsid w:val="008159EF"/>
    <w:rsid w:val="00815C4A"/>
    <w:rsid w:val="00816030"/>
    <w:rsid w:val="008169E7"/>
    <w:rsid w:val="00816ACB"/>
    <w:rsid w:val="00816CBA"/>
    <w:rsid w:val="00817DC3"/>
    <w:rsid w:val="00820395"/>
    <w:rsid w:val="00820421"/>
    <w:rsid w:val="0082049C"/>
    <w:rsid w:val="008206D7"/>
    <w:rsid w:val="008213C7"/>
    <w:rsid w:val="008215FD"/>
    <w:rsid w:val="0082194A"/>
    <w:rsid w:val="00821A71"/>
    <w:rsid w:val="00821B27"/>
    <w:rsid w:val="00821FFE"/>
    <w:rsid w:val="00822151"/>
    <w:rsid w:val="0082256C"/>
    <w:rsid w:val="00822DA3"/>
    <w:rsid w:val="00823AAF"/>
    <w:rsid w:val="00823D1F"/>
    <w:rsid w:val="008246E1"/>
    <w:rsid w:val="008248C7"/>
    <w:rsid w:val="00824B57"/>
    <w:rsid w:val="00824CAC"/>
    <w:rsid w:val="00824E9E"/>
    <w:rsid w:val="00824F97"/>
    <w:rsid w:val="00825391"/>
    <w:rsid w:val="00825600"/>
    <w:rsid w:val="00825C95"/>
    <w:rsid w:val="00825D42"/>
    <w:rsid w:val="00825E10"/>
    <w:rsid w:val="0082606B"/>
    <w:rsid w:val="00826448"/>
    <w:rsid w:val="00826EE2"/>
    <w:rsid w:val="00826FD6"/>
    <w:rsid w:val="008270DD"/>
    <w:rsid w:val="00827F1E"/>
    <w:rsid w:val="00830126"/>
    <w:rsid w:val="0083060C"/>
    <w:rsid w:val="00830D3A"/>
    <w:rsid w:val="00830F0D"/>
    <w:rsid w:val="0083113E"/>
    <w:rsid w:val="008319C9"/>
    <w:rsid w:val="00831BCA"/>
    <w:rsid w:val="00831C0C"/>
    <w:rsid w:val="00831D6C"/>
    <w:rsid w:val="008321E3"/>
    <w:rsid w:val="0083273A"/>
    <w:rsid w:val="00832C3C"/>
    <w:rsid w:val="00832D98"/>
    <w:rsid w:val="0083301A"/>
    <w:rsid w:val="00833208"/>
    <w:rsid w:val="0083378C"/>
    <w:rsid w:val="008337F1"/>
    <w:rsid w:val="00833C20"/>
    <w:rsid w:val="00833CC0"/>
    <w:rsid w:val="00833F02"/>
    <w:rsid w:val="0083406D"/>
    <w:rsid w:val="0083477A"/>
    <w:rsid w:val="00834D46"/>
    <w:rsid w:val="00834E6F"/>
    <w:rsid w:val="0083515A"/>
    <w:rsid w:val="008358FD"/>
    <w:rsid w:val="00835B83"/>
    <w:rsid w:val="00836049"/>
    <w:rsid w:val="00836415"/>
    <w:rsid w:val="00836428"/>
    <w:rsid w:val="00836A2D"/>
    <w:rsid w:val="00836FD1"/>
    <w:rsid w:val="00837DBB"/>
    <w:rsid w:val="00840298"/>
    <w:rsid w:val="00840697"/>
    <w:rsid w:val="008406CB"/>
    <w:rsid w:val="00840744"/>
    <w:rsid w:val="00840C44"/>
    <w:rsid w:val="00841006"/>
    <w:rsid w:val="0084160F"/>
    <w:rsid w:val="008416D9"/>
    <w:rsid w:val="00841ACF"/>
    <w:rsid w:val="00841E58"/>
    <w:rsid w:val="00842734"/>
    <w:rsid w:val="00842A0C"/>
    <w:rsid w:val="00842DCB"/>
    <w:rsid w:val="00842F8B"/>
    <w:rsid w:val="00843004"/>
    <w:rsid w:val="00843590"/>
    <w:rsid w:val="00843790"/>
    <w:rsid w:val="008438B6"/>
    <w:rsid w:val="00843AF5"/>
    <w:rsid w:val="00843D3D"/>
    <w:rsid w:val="00843EB8"/>
    <w:rsid w:val="00844327"/>
    <w:rsid w:val="008443AB"/>
    <w:rsid w:val="008445F5"/>
    <w:rsid w:val="00844A23"/>
    <w:rsid w:val="00844B7E"/>
    <w:rsid w:val="00844E41"/>
    <w:rsid w:val="008452DC"/>
    <w:rsid w:val="00846D69"/>
    <w:rsid w:val="0084712E"/>
    <w:rsid w:val="00847807"/>
    <w:rsid w:val="00847A06"/>
    <w:rsid w:val="00847C27"/>
    <w:rsid w:val="00847E74"/>
    <w:rsid w:val="00847E98"/>
    <w:rsid w:val="0085039E"/>
    <w:rsid w:val="00850B8A"/>
    <w:rsid w:val="00850FDD"/>
    <w:rsid w:val="008510D0"/>
    <w:rsid w:val="008513F4"/>
    <w:rsid w:val="00851608"/>
    <w:rsid w:val="00851E3A"/>
    <w:rsid w:val="00851F47"/>
    <w:rsid w:val="00852149"/>
    <w:rsid w:val="00852212"/>
    <w:rsid w:val="008529D9"/>
    <w:rsid w:val="00852D9B"/>
    <w:rsid w:val="00852F20"/>
    <w:rsid w:val="0085318D"/>
    <w:rsid w:val="00853804"/>
    <w:rsid w:val="00853BD4"/>
    <w:rsid w:val="00853F1A"/>
    <w:rsid w:val="0085460D"/>
    <w:rsid w:val="00854860"/>
    <w:rsid w:val="00855143"/>
    <w:rsid w:val="0085541C"/>
    <w:rsid w:val="008556BC"/>
    <w:rsid w:val="0085585A"/>
    <w:rsid w:val="00855ABB"/>
    <w:rsid w:val="00855BE1"/>
    <w:rsid w:val="00855E8A"/>
    <w:rsid w:val="00855EAC"/>
    <w:rsid w:val="00856090"/>
    <w:rsid w:val="00856C63"/>
    <w:rsid w:val="008572FE"/>
    <w:rsid w:val="00860419"/>
    <w:rsid w:val="00860454"/>
    <w:rsid w:val="008604E8"/>
    <w:rsid w:val="00860F6B"/>
    <w:rsid w:val="00861163"/>
    <w:rsid w:val="00862971"/>
    <w:rsid w:val="00862C09"/>
    <w:rsid w:val="00862C9F"/>
    <w:rsid w:val="00862EE2"/>
    <w:rsid w:val="008639A2"/>
    <w:rsid w:val="00863E9B"/>
    <w:rsid w:val="008649BA"/>
    <w:rsid w:val="00864ACD"/>
    <w:rsid w:val="00865147"/>
    <w:rsid w:val="0086519A"/>
    <w:rsid w:val="008652D5"/>
    <w:rsid w:val="0086531D"/>
    <w:rsid w:val="00865DE6"/>
    <w:rsid w:val="008660C5"/>
    <w:rsid w:val="008665AE"/>
    <w:rsid w:val="00866A23"/>
    <w:rsid w:val="00866FA4"/>
    <w:rsid w:val="008672BA"/>
    <w:rsid w:val="008673A6"/>
    <w:rsid w:val="00867838"/>
    <w:rsid w:val="0087045A"/>
    <w:rsid w:val="008704E5"/>
    <w:rsid w:val="008706EE"/>
    <w:rsid w:val="00870955"/>
    <w:rsid w:val="0087096E"/>
    <w:rsid w:val="0087108B"/>
    <w:rsid w:val="008713B3"/>
    <w:rsid w:val="008718C9"/>
    <w:rsid w:val="008719EE"/>
    <w:rsid w:val="00871A22"/>
    <w:rsid w:val="00871AAA"/>
    <w:rsid w:val="008723EF"/>
    <w:rsid w:val="00872846"/>
    <w:rsid w:val="00872ED2"/>
    <w:rsid w:val="00872F51"/>
    <w:rsid w:val="008730FE"/>
    <w:rsid w:val="008736BC"/>
    <w:rsid w:val="008745D6"/>
    <w:rsid w:val="008748CE"/>
    <w:rsid w:val="00874AF1"/>
    <w:rsid w:val="00874BB2"/>
    <w:rsid w:val="00874E97"/>
    <w:rsid w:val="00875756"/>
    <w:rsid w:val="00875873"/>
    <w:rsid w:val="008759FC"/>
    <w:rsid w:val="00875B29"/>
    <w:rsid w:val="00875F95"/>
    <w:rsid w:val="00876031"/>
    <w:rsid w:val="00876227"/>
    <w:rsid w:val="008764FD"/>
    <w:rsid w:val="00876BBB"/>
    <w:rsid w:val="00877523"/>
    <w:rsid w:val="00877EF7"/>
    <w:rsid w:val="008792CD"/>
    <w:rsid w:val="008807D0"/>
    <w:rsid w:val="00880C9E"/>
    <w:rsid w:val="00880D45"/>
    <w:rsid w:val="00880F0D"/>
    <w:rsid w:val="00881641"/>
    <w:rsid w:val="008819CF"/>
    <w:rsid w:val="00881FD0"/>
    <w:rsid w:val="008833B9"/>
    <w:rsid w:val="00884F3F"/>
    <w:rsid w:val="00885143"/>
    <w:rsid w:val="00885A75"/>
    <w:rsid w:val="00885B51"/>
    <w:rsid w:val="00885E31"/>
    <w:rsid w:val="00886D5C"/>
    <w:rsid w:val="008871AB"/>
    <w:rsid w:val="0088764B"/>
    <w:rsid w:val="008877EC"/>
    <w:rsid w:val="00887D77"/>
    <w:rsid w:val="00887E3A"/>
    <w:rsid w:val="0089036D"/>
    <w:rsid w:val="00890C93"/>
    <w:rsid w:val="00890D49"/>
    <w:rsid w:val="00890E47"/>
    <w:rsid w:val="008915AB"/>
    <w:rsid w:val="00891D36"/>
    <w:rsid w:val="00891DD4"/>
    <w:rsid w:val="008920EA"/>
    <w:rsid w:val="008922AD"/>
    <w:rsid w:val="008928E0"/>
    <w:rsid w:val="00892979"/>
    <w:rsid w:val="00892DE2"/>
    <w:rsid w:val="008933A4"/>
    <w:rsid w:val="008938B2"/>
    <w:rsid w:val="008939DA"/>
    <w:rsid w:val="00894122"/>
    <w:rsid w:val="00894148"/>
    <w:rsid w:val="0089461E"/>
    <w:rsid w:val="00894D43"/>
    <w:rsid w:val="0089509F"/>
    <w:rsid w:val="00895246"/>
    <w:rsid w:val="00895F0F"/>
    <w:rsid w:val="008960DD"/>
    <w:rsid w:val="008965CC"/>
    <w:rsid w:val="008965E0"/>
    <w:rsid w:val="008967E5"/>
    <w:rsid w:val="0089736D"/>
    <w:rsid w:val="008974BB"/>
    <w:rsid w:val="00897839"/>
    <w:rsid w:val="00897942"/>
    <w:rsid w:val="00897B0A"/>
    <w:rsid w:val="008A011B"/>
    <w:rsid w:val="008A026B"/>
    <w:rsid w:val="008A0990"/>
    <w:rsid w:val="008A0B32"/>
    <w:rsid w:val="008A0E3A"/>
    <w:rsid w:val="008A10DE"/>
    <w:rsid w:val="008A1219"/>
    <w:rsid w:val="008A1669"/>
    <w:rsid w:val="008A17CC"/>
    <w:rsid w:val="008A1B7A"/>
    <w:rsid w:val="008A1BC4"/>
    <w:rsid w:val="008A26E3"/>
    <w:rsid w:val="008A2B26"/>
    <w:rsid w:val="008A3229"/>
    <w:rsid w:val="008A32AC"/>
    <w:rsid w:val="008A37CB"/>
    <w:rsid w:val="008A3F4C"/>
    <w:rsid w:val="008A3FD6"/>
    <w:rsid w:val="008A412F"/>
    <w:rsid w:val="008A446B"/>
    <w:rsid w:val="008A448D"/>
    <w:rsid w:val="008A463C"/>
    <w:rsid w:val="008A475C"/>
    <w:rsid w:val="008A49F5"/>
    <w:rsid w:val="008A4BED"/>
    <w:rsid w:val="008A5871"/>
    <w:rsid w:val="008A5FAC"/>
    <w:rsid w:val="008A6067"/>
    <w:rsid w:val="008A647C"/>
    <w:rsid w:val="008A6717"/>
    <w:rsid w:val="008A6EC4"/>
    <w:rsid w:val="008A6ECC"/>
    <w:rsid w:val="008A70F5"/>
    <w:rsid w:val="008A7BD3"/>
    <w:rsid w:val="008B05BA"/>
    <w:rsid w:val="008B08BC"/>
    <w:rsid w:val="008B0B26"/>
    <w:rsid w:val="008B0FAA"/>
    <w:rsid w:val="008B11CD"/>
    <w:rsid w:val="008B1259"/>
    <w:rsid w:val="008B133B"/>
    <w:rsid w:val="008B189E"/>
    <w:rsid w:val="008B1C33"/>
    <w:rsid w:val="008B2677"/>
    <w:rsid w:val="008B2797"/>
    <w:rsid w:val="008B2877"/>
    <w:rsid w:val="008B304F"/>
    <w:rsid w:val="008B3A1F"/>
    <w:rsid w:val="008B3A57"/>
    <w:rsid w:val="008B4252"/>
    <w:rsid w:val="008B4A29"/>
    <w:rsid w:val="008B4EFE"/>
    <w:rsid w:val="008B50BB"/>
    <w:rsid w:val="008B5B2D"/>
    <w:rsid w:val="008B5BC1"/>
    <w:rsid w:val="008B5D6B"/>
    <w:rsid w:val="008B5F9B"/>
    <w:rsid w:val="008B6358"/>
    <w:rsid w:val="008B64C7"/>
    <w:rsid w:val="008B6BD1"/>
    <w:rsid w:val="008B6BF7"/>
    <w:rsid w:val="008B6D7A"/>
    <w:rsid w:val="008B6E70"/>
    <w:rsid w:val="008B70B1"/>
    <w:rsid w:val="008B75A2"/>
    <w:rsid w:val="008B7E07"/>
    <w:rsid w:val="008B7EA7"/>
    <w:rsid w:val="008C05A1"/>
    <w:rsid w:val="008C1262"/>
    <w:rsid w:val="008C130C"/>
    <w:rsid w:val="008C133A"/>
    <w:rsid w:val="008C15C9"/>
    <w:rsid w:val="008C15DF"/>
    <w:rsid w:val="008C1631"/>
    <w:rsid w:val="008C21AC"/>
    <w:rsid w:val="008C24AC"/>
    <w:rsid w:val="008C25A2"/>
    <w:rsid w:val="008C2728"/>
    <w:rsid w:val="008C2863"/>
    <w:rsid w:val="008C28DF"/>
    <w:rsid w:val="008C2B46"/>
    <w:rsid w:val="008C2D00"/>
    <w:rsid w:val="008C2FA1"/>
    <w:rsid w:val="008C31ED"/>
    <w:rsid w:val="008C342F"/>
    <w:rsid w:val="008C3B8C"/>
    <w:rsid w:val="008C49E0"/>
    <w:rsid w:val="008C57A5"/>
    <w:rsid w:val="008C58E4"/>
    <w:rsid w:val="008C5BC0"/>
    <w:rsid w:val="008C5DCD"/>
    <w:rsid w:val="008C6357"/>
    <w:rsid w:val="008C6753"/>
    <w:rsid w:val="008C7017"/>
    <w:rsid w:val="008C7270"/>
    <w:rsid w:val="008C7366"/>
    <w:rsid w:val="008C7562"/>
    <w:rsid w:val="008C7594"/>
    <w:rsid w:val="008C77B3"/>
    <w:rsid w:val="008C77B5"/>
    <w:rsid w:val="008C7E61"/>
    <w:rsid w:val="008C7F3F"/>
    <w:rsid w:val="008D0496"/>
    <w:rsid w:val="008D0837"/>
    <w:rsid w:val="008D0F21"/>
    <w:rsid w:val="008D18B8"/>
    <w:rsid w:val="008D192A"/>
    <w:rsid w:val="008D19CC"/>
    <w:rsid w:val="008D1D19"/>
    <w:rsid w:val="008D211F"/>
    <w:rsid w:val="008D249C"/>
    <w:rsid w:val="008D2CAF"/>
    <w:rsid w:val="008D2FB6"/>
    <w:rsid w:val="008D331B"/>
    <w:rsid w:val="008D38A0"/>
    <w:rsid w:val="008D461F"/>
    <w:rsid w:val="008D4A28"/>
    <w:rsid w:val="008D5731"/>
    <w:rsid w:val="008D680D"/>
    <w:rsid w:val="008D71E7"/>
    <w:rsid w:val="008D74E5"/>
    <w:rsid w:val="008D75CB"/>
    <w:rsid w:val="008D766C"/>
    <w:rsid w:val="008D7C09"/>
    <w:rsid w:val="008E01AE"/>
    <w:rsid w:val="008E03B4"/>
    <w:rsid w:val="008E0416"/>
    <w:rsid w:val="008E0720"/>
    <w:rsid w:val="008E086E"/>
    <w:rsid w:val="008E09AB"/>
    <w:rsid w:val="008E0D7A"/>
    <w:rsid w:val="008E0EFE"/>
    <w:rsid w:val="008E12AB"/>
    <w:rsid w:val="008E1ECD"/>
    <w:rsid w:val="008E2062"/>
    <w:rsid w:val="008E20B3"/>
    <w:rsid w:val="008E22E4"/>
    <w:rsid w:val="008E2317"/>
    <w:rsid w:val="008E2638"/>
    <w:rsid w:val="008E28F9"/>
    <w:rsid w:val="008E2EB5"/>
    <w:rsid w:val="008E35C1"/>
    <w:rsid w:val="008E3933"/>
    <w:rsid w:val="008E4D00"/>
    <w:rsid w:val="008E58AA"/>
    <w:rsid w:val="008E6BB5"/>
    <w:rsid w:val="008E6CA6"/>
    <w:rsid w:val="008E6F26"/>
    <w:rsid w:val="008E6FA7"/>
    <w:rsid w:val="008E739B"/>
    <w:rsid w:val="008E7456"/>
    <w:rsid w:val="008E7924"/>
    <w:rsid w:val="008E7A63"/>
    <w:rsid w:val="008F07CC"/>
    <w:rsid w:val="008F17C9"/>
    <w:rsid w:val="008F187D"/>
    <w:rsid w:val="008F1962"/>
    <w:rsid w:val="008F225E"/>
    <w:rsid w:val="008F28EB"/>
    <w:rsid w:val="008F29D6"/>
    <w:rsid w:val="008F2BF6"/>
    <w:rsid w:val="008F2C15"/>
    <w:rsid w:val="008F3970"/>
    <w:rsid w:val="008F3F6E"/>
    <w:rsid w:val="008F46D0"/>
    <w:rsid w:val="008F47C0"/>
    <w:rsid w:val="008F53EC"/>
    <w:rsid w:val="008F584A"/>
    <w:rsid w:val="008F5D2B"/>
    <w:rsid w:val="008F649A"/>
    <w:rsid w:val="008F7580"/>
    <w:rsid w:val="00900BE7"/>
    <w:rsid w:val="00900C20"/>
    <w:rsid w:val="00900CEA"/>
    <w:rsid w:val="009013C0"/>
    <w:rsid w:val="009014C7"/>
    <w:rsid w:val="00901FC9"/>
    <w:rsid w:val="00902BE7"/>
    <w:rsid w:val="00902DD1"/>
    <w:rsid w:val="00902E5C"/>
    <w:rsid w:val="00903198"/>
    <w:rsid w:val="009032CD"/>
    <w:rsid w:val="00903394"/>
    <w:rsid w:val="009038C1"/>
    <w:rsid w:val="00904043"/>
    <w:rsid w:val="009046B6"/>
    <w:rsid w:val="0090492D"/>
    <w:rsid w:val="00904E00"/>
    <w:rsid w:val="00904E33"/>
    <w:rsid w:val="00905552"/>
    <w:rsid w:val="00905C41"/>
    <w:rsid w:val="00906849"/>
    <w:rsid w:val="00906A15"/>
    <w:rsid w:val="00906A3A"/>
    <w:rsid w:val="00906D56"/>
    <w:rsid w:val="00907016"/>
    <w:rsid w:val="009070A9"/>
    <w:rsid w:val="009070B9"/>
    <w:rsid w:val="00907333"/>
    <w:rsid w:val="00907FCD"/>
    <w:rsid w:val="009109C9"/>
    <w:rsid w:val="00910DE8"/>
    <w:rsid w:val="00910E8A"/>
    <w:rsid w:val="0091112E"/>
    <w:rsid w:val="00911446"/>
    <w:rsid w:val="00911473"/>
    <w:rsid w:val="00912491"/>
    <w:rsid w:val="009130BA"/>
    <w:rsid w:val="009133C1"/>
    <w:rsid w:val="0091358D"/>
    <w:rsid w:val="00913735"/>
    <w:rsid w:val="00913CC4"/>
    <w:rsid w:val="00914093"/>
    <w:rsid w:val="009141AB"/>
    <w:rsid w:val="00914387"/>
    <w:rsid w:val="00914B59"/>
    <w:rsid w:val="0091524F"/>
    <w:rsid w:val="00915369"/>
    <w:rsid w:val="00915ADE"/>
    <w:rsid w:val="00915F40"/>
    <w:rsid w:val="0091609B"/>
    <w:rsid w:val="00916922"/>
    <w:rsid w:val="00916E55"/>
    <w:rsid w:val="0091715F"/>
    <w:rsid w:val="009171E8"/>
    <w:rsid w:val="009174E8"/>
    <w:rsid w:val="00917997"/>
    <w:rsid w:val="009202FE"/>
    <w:rsid w:val="00920474"/>
    <w:rsid w:val="00920627"/>
    <w:rsid w:val="00920F42"/>
    <w:rsid w:val="00921642"/>
    <w:rsid w:val="0092185F"/>
    <w:rsid w:val="00922674"/>
    <w:rsid w:val="00922E84"/>
    <w:rsid w:val="009235D5"/>
    <w:rsid w:val="00923E08"/>
    <w:rsid w:val="0092512C"/>
    <w:rsid w:val="00925239"/>
    <w:rsid w:val="0092552C"/>
    <w:rsid w:val="00925877"/>
    <w:rsid w:val="0092634A"/>
    <w:rsid w:val="009263BA"/>
    <w:rsid w:val="00926653"/>
    <w:rsid w:val="0092693A"/>
    <w:rsid w:val="00926AA0"/>
    <w:rsid w:val="00926D28"/>
    <w:rsid w:val="009277DD"/>
    <w:rsid w:val="0092794E"/>
    <w:rsid w:val="00927C7B"/>
    <w:rsid w:val="00930162"/>
    <w:rsid w:val="00930CBC"/>
    <w:rsid w:val="00930E2A"/>
    <w:rsid w:val="00931070"/>
    <w:rsid w:val="009315A5"/>
    <w:rsid w:val="009321F9"/>
    <w:rsid w:val="00933448"/>
    <w:rsid w:val="00933AE2"/>
    <w:rsid w:val="00933E62"/>
    <w:rsid w:val="0093439A"/>
    <w:rsid w:val="00934A48"/>
    <w:rsid w:val="00934E1D"/>
    <w:rsid w:val="00934FCC"/>
    <w:rsid w:val="009350BA"/>
    <w:rsid w:val="0093563D"/>
    <w:rsid w:val="00935EC6"/>
    <w:rsid w:val="00935EE8"/>
    <w:rsid w:val="00936D6A"/>
    <w:rsid w:val="00936D99"/>
    <w:rsid w:val="00936FAC"/>
    <w:rsid w:val="00937650"/>
    <w:rsid w:val="009376C4"/>
    <w:rsid w:val="0093777F"/>
    <w:rsid w:val="00937A2D"/>
    <w:rsid w:val="00937B3A"/>
    <w:rsid w:val="00937E5E"/>
    <w:rsid w:val="00937FD3"/>
    <w:rsid w:val="00940455"/>
    <w:rsid w:val="009406B6"/>
    <w:rsid w:val="00940744"/>
    <w:rsid w:val="00940DB2"/>
    <w:rsid w:val="00941423"/>
    <w:rsid w:val="009417AF"/>
    <w:rsid w:val="009417D8"/>
    <w:rsid w:val="0094197C"/>
    <w:rsid w:val="00941A04"/>
    <w:rsid w:val="00941AC0"/>
    <w:rsid w:val="00941D2A"/>
    <w:rsid w:val="00942983"/>
    <w:rsid w:val="009434AE"/>
    <w:rsid w:val="00943967"/>
    <w:rsid w:val="00943AD9"/>
    <w:rsid w:val="00943D62"/>
    <w:rsid w:val="00943DC2"/>
    <w:rsid w:val="009443A5"/>
    <w:rsid w:val="00944442"/>
    <w:rsid w:val="00944479"/>
    <w:rsid w:val="009448A7"/>
    <w:rsid w:val="009449E4"/>
    <w:rsid w:val="00944DF3"/>
    <w:rsid w:val="00945356"/>
    <w:rsid w:val="00946758"/>
    <w:rsid w:val="009468BE"/>
    <w:rsid w:val="00946A5D"/>
    <w:rsid w:val="00946B66"/>
    <w:rsid w:val="009477AE"/>
    <w:rsid w:val="00950792"/>
    <w:rsid w:val="0095086A"/>
    <w:rsid w:val="00951132"/>
    <w:rsid w:val="00951BFB"/>
    <w:rsid w:val="00951C7E"/>
    <w:rsid w:val="00951CC2"/>
    <w:rsid w:val="00952A06"/>
    <w:rsid w:val="00953516"/>
    <w:rsid w:val="00953793"/>
    <w:rsid w:val="00953C22"/>
    <w:rsid w:val="009546BF"/>
    <w:rsid w:val="00954D42"/>
    <w:rsid w:val="00954D57"/>
    <w:rsid w:val="00954E05"/>
    <w:rsid w:val="00955342"/>
    <w:rsid w:val="00955EA3"/>
    <w:rsid w:val="00956A5D"/>
    <w:rsid w:val="00956E42"/>
    <w:rsid w:val="00956E79"/>
    <w:rsid w:val="00956FCD"/>
    <w:rsid w:val="00957371"/>
    <w:rsid w:val="00957F80"/>
    <w:rsid w:val="009601F4"/>
    <w:rsid w:val="00960DF6"/>
    <w:rsid w:val="00960FEF"/>
    <w:rsid w:val="00961325"/>
    <w:rsid w:val="009615F8"/>
    <w:rsid w:val="00961B15"/>
    <w:rsid w:val="00961ECF"/>
    <w:rsid w:val="00961F2A"/>
    <w:rsid w:val="009626C3"/>
    <w:rsid w:val="00963126"/>
    <w:rsid w:val="00963383"/>
    <w:rsid w:val="0096346E"/>
    <w:rsid w:val="009637BD"/>
    <w:rsid w:val="00963C2D"/>
    <w:rsid w:val="009641C5"/>
    <w:rsid w:val="00964360"/>
    <w:rsid w:val="00964ED5"/>
    <w:rsid w:val="0096534A"/>
    <w:rsid w:val="009659D3"/>
    <w:rsid w:val="00965FBC"/>
    <w:rsid w:val="00966043"/>
    <w:rsid w:val="009660D7"/>
    <w:rsid w:val="0096771B"/>
    <w:rsid w:val="00967C8C"/>
    <w:rsid w:val="00967CE2"/>
    <w:rsid w:val="00970138"/>
    <w:rsid w:val="009704F2"/>
    <w:rsid w:val="00971174"/>
    <w:rsid w:val="0097133F"/>
    <w:rsid w:val="009714F8"/>
    <w:rsid w:val="009717F6"/>
    <w:rsid w:val="0097182B"/>
    <w:rsid w:val="00971BC5"/>
    <w:rsid w:val="00971C3B"/>
    <w:rsid w:val="00972107"/>
    <w:rsid w:val="00972520"/>
    <w:rsid w:val="0097284F"/>
    <w:rsid w:val="0097295B"/>
    <w:rsid w:val="00973380"/>
    <w:rsid w:val="00973A27"/>
    <w:rsid w:val="00973E6F"/>
    <w:rsid w:val="0097468F"/>
    <w:rsid w:val="00974711"/>
    <w:rsid w:val="00974F91"/>
    <w:rsid w:val="0097535F"/>
    <w:rsid w:val="009753EB"/>
    <w:rsid w:val="00975414"/>
    <w:rsid w:val="009757B6"/>
    <w:rsid w:val="009757E3"/>
    <w:rsid w:val="00976094"/>
    <w:rsid w:val="00976468"/>
    <w:rsid w:val="00976495"/>
    <w:rsid w:val="00977387"/>
    <w:rsid w:val="00977471"/>
    <w:rsid w:val="0097747B"/>
    <w:rsid w:val="00977678"/>
    <w:rsid w:val="0097798D"/>
    <w:rsid w:val="00977DAD"/>
    <w:rsid w:val="00977DD5"/>
    <w:rsid w:val="00977F5F"/>
    <w:rsid w:val="009803D9"/>
    <w:rsid w:val="0098105B"/>
    <w:rsid w:val="0098132A"/>
    <w:rsid w:val="009813DD"/>
    <w:rsid w:val="0098187A"/>
    <w:rsid w:val="0098208D"/>
    <w:rsid w:val="00982418"/>
    <w:rsid w:val="00982A1E"/>
    <w:rsid w:val="00982A3E"/>
    <w:rsid w:val="00982CC6"/>
    <w:rsid w:val="00982DC3"/>
    <w:rsid w:val="00983468"/>
    <w:rsid w:val="009838A8"/>
    <w:rsid w:val="0098396D"/>
    <w:rsid w:val="00983CE5"/>
    <w:rsid w:val="00984000"/>
    <w:rsid w:val="00984757"/>
    <w:rsid w:val="00984C25"/>
    <w:rsid w:val="00984C9D"/>
    <w:rsid w:val="00984D64"/>
    <w:rsid w:val="009860C2"/>
    <w:rsid w:val="00986385"/>
    <w:rsid w:val="0098640B"/>
    <w:rsid w:val="009869D4"/>
    <w:rsid w:val="00986C9C"/>
    <w:rsid w:val="00986D38"/>
    <w:rsid w:val="00987061"/>
    <w:rsid w:val="0098741F"/>
    <w:rsid w:val="00987FB0"/>
    <w:rsid w:val="00987FC5"/>
    <w:rsid w:val="00990570"/>
    <w:rsid w:val="009908AE"/>
    <w:rsid w:val="00990CD2"/>
    <w:rsid w:val="00990F6C"/>
    <w:rsid w:val="0099112A"/>
    <w:rsid w:val="0099120B"/>
    <w:rsid w:val="009913DB"/>
    <w:rsid w:val="009913E2"/>
    <w:rsid w:val="0099173F"/>
    <w:rsid w:val="009918DC"/>
    <w:rsid w:val="00991C62"/>
    <w:rsid w:val="00991C7A"/>
    <w:rsid w:val="0099228B"/>
    <w:rsid w:val="00992360"/>
    <w:rsid w:val="0099408E"/>
    <w:rsid w:val="0099465B"/>
    <w:rsid w:val="009947A3"/>
    <w:rsid w:val="00994892"/>
    <w:rsid w:val="00994DEC"/>
    <w:rsid w:val="00995882"/>
    <w:rsid w:val="009959BD"/>
    <w:rsid w:val="00995C87"/>
    <w:rsid w:val="00995D23"/>
    <w:rsid w:val="00995FF7"/>
    <w:rsid w:val="0099645E"/>
    <w:rsid w:val="009971C1"/>
    <w:rsid w:val="00997B59"/>
    <w:rsid w:val="00997B6C"/>
    <w:rsid w:val="00997E2D"/>
    <w:rsid w:val="009A014D"/>
    <w:rsid w:val="009A01AB"/>
    <w:rsid w:val="009A0D49"/>
    <w:rsid w:val="009A105B"/>
    <w:rsid w:val="009A10FE"/>
    <w:rsid w:val="009A1E89"/>
    <w:rsid w:val="009A2EA4"/>
    <w:rsid w:val="009A2FDA"/>
    <w:rsid w:val="009A4104"/>
    <w:rsid w:val="009A45CE"/>
    <w:rsid w:val="009A56E1"/>
    <w:rsid w:val="009A5BBE"/>
    <w:rsid w:val="009A612E"/>
    <w:rsid w:val="009A62C4"/>
    <w:rsid w:val="009A7085"/>
    <w:rsid w:val="009A7670"/>
    <w:rsid w:val="009A78E7"/>
    <w:rsid w:val="009A7F59"/>
    <w:rsid w:val="009B0368"/>
    <w:rsid w:val="009B0700"/>
    <w:rsid w:val="009B07F9"/>
    <w:rsid w:val="009B0971"/>
    <w:rsid w:val="009B0FA2"/>
    <w:rsid w:val="009B10C6"/>
    <w:rsid w:val="009B14CC"/>
    <w:rsid w:val="009B1815"/>
    <w:rsid w:val="009B18FE"/>
    <w:rsid w:val="009B1A2C"/>
    <w:rsid w:val="009B2303"/>
    <w:rsid w:val="009B2514"/>
    <w:rsid w:val="009B27E8"/>
    <w:rsid w:val="009B2B97"/>
    <w:rsid w:val="009B3A12"/>
    <w:rsid w:val="009B3BA4"/>
    <w:rsid w:val="009B3D07"/>
    <w:rsid w:val="009B435D"/>
    <w:rsid w:val="009B53C7"/>
    <w:rsid w:val="009B5EA0"/>
    <w:rsid w:val="009B619D"/>
    <w:rsid w:val="009B634E"/>
    <w:rsid w:val="009B6BBC"/>
    <w:rsid w:val="009B6FF7"/>
    <w:rsid w:val="009B70B7"/>
    <w:rsid w:val="009B781C"/>
    <w:rsid w:val="009B7F8F"/>
    <w:rsid w:val="009C03F2"/>
    <w:rsid w:val="009C0756"/>
    <w:rsid w:val="009C07A1"/>
    <w:rsid w:val="009C09A4"/>
    <w:rsid w:val="009C175A"/>
    <w:rsid w:val="009C1B6F"/>
    <w:rsid w:val="009C21CA"/>
    <w:rsid w:val="009C2744"/>
    <w:rsid w:val="009C284C"/>
    <w:rsid w:val="009C303F"/>
    <w:rsid w:val="009C3412"/>
    <w:rsid w:val="009C3D9A"/>
    <w:rsid w:val="009C3E7E"/>
    <w:rsid w:val="009C45E7"/>
    <w:rsid w:val="009C4E54"/>
    <w:rsid w:val="009C4E67"/>
    <w:rsid w:val="009C4F78"/>
    <w:rsid w:val="009C4FDC"/>
    <w:rsid w:val="009C5908"/>
    <w:rsid w:val="009C5B17"/>
    <w:rsid w:val="009C6013"/>
    <w:rsid w:val="009C618A"/>
    <w:rsid w:val="009C6354"/>
    <w:rsid w:val="009C6640"/>
    <w:rsid w:val="009C677C"/>
    <w:rsid w:val="009C6919"/>
    <w:rsid w:val="009C6E28"/>
    <w:rsid w:val="009C6F09"/>
    <w:rsid w:val="009C71BD"/>
    <w:rsid w:val="009C7306"/>
    <w:rsid w:val="009C75BD"/>
    <w:rsid w:val="009C773A"/>
    <w:rsid w:val="009C7C94"/>
    <w:rsid w:val="009C7FAE"/>
    <w:rsid w:val="009C7FCE"/>
    <w:rsid w:val="009D02CC"/>
    <w:rsid w:val="009D08B3"/>
    <w:rsid w:val="009D0CBD"/>
    <w:rsid w:val="009D1831"/>
    <w:rsid w:val="009D246A"/>
    <w:rsid w:val="009D2BE9"/>
    <w:rsid w:val="009D2E23"/>
    <w:rsid w:val="009D2F43"/>
    <w:rsid w:val="009D3172"/>
    <w:rsid w:val="009D3C73"/>
    <w:rsid w:val="009D3FC3"/>
    <w:rsid w:val="009D45CC"/>
    <w:rsid w:val="009D4768"/>
    <w:rsid w:val="009D4F22"/>
    <w:rsid w:val="009D52C8"/>
    <w:rsid w:val="009D5A1E"/>
    <w:rsid w:val="009D5F2A"/>
    <w:rsid w:val="009D6146"/>
    <w:rsid w:val="009D62AA"/>
    <w:rsid w:val="009D67D8"/>
    <w:rsid w:val="009D67EA"/>
    <w:rsid w:val="009D6B52"/>
    <w:rsid w:val="009D7076"/>
    <w:rsid w:val="009D75F2"/>
    <w:rsid w:val="009D76A6"/>
    <w:rsid w:val="009E002E"/>
    <w:rsid w:val="009E0542"/>
    <w:rsid w:val="009E05D7"/>
    <w:rsid w:val="009E09AD"/>
    <w:rsid w:val="009E0B75"/>
    <w:rsid w:val="009E109A"/>
    <w:rsid w:val="009E191F"/>
    <w:rsid w:val="009E1CF0"/>
    <w:rsid w:val="009E1F7F"/>
    <w:rsid w:val="009E25A9"/>
    <w:rsid w:val="009E26B4"/>
    <w:rsid w:val="009E28B3"/>
    <w:rsid w:val="009E3612"/>
    <w:rsid w:val="009E3A47"/>
    <w:rsid w:val="009E3D16"/>
    <w:rsid w:val="009E3F13"/>
    <w:rsid w:val="009E4458"/>
    <w:rsid w:val="009E46BF"/>
    <w:rsid w:val="009E49BE"/>
    <w:rsid w:val="009E49CA"/>
    <w:rsid w:val="009E4E80"/>
    <w:rsid w:val="009E5248"/>
    <w:rsid w:val="009E54C4"/>
    <w:rsid w:val="009E5A06"/>
    <w:rsid w:val="009E61DC"/>
    <w:rsid w:val="009E643B"/>
    <w:rsid w:val="009E6444"/>
    <w:rsid w:val="009E7042"/>
    <w:rsid w:val="009E7591"/>
    <w:rsid w:val="009E790C"/>
    <w:rsid w:val="009E7FFC"/>
    <w:rsid w:val="009F077F"/>
    <w:rsid w:val="009F08ED"/>
    <w:rsid w:val="009F0BBE"/>
    <w:rsid w:val="009F0CE4"/>
    <w:rsid w:val="009F0ED5"/>
    <w:rsid w:val="009F19FC"/>
    <w:rsid w:val="009F1A25"/>
    <w:rsid w:val="009F27FC"/>
    <w:rsid w:val="009F280E"/>
    <w:rsid w:val="009F2FED"/>
    <w:rsid w:val="009F3F52"/>
    <w:rsid w:val="009F4330"/>
    <w:rsid w:val="009F4485"/>
    <w:rsid w:val="009F44BD"/>
    <w:rsid w:val="009F47BD"/>
    <w:rsid w:val="009F4A78"/>
    <w:rsid w:val="009F4E45"/>
    <w:rsid w:val="009F4F5C"/>
    <w:rsid w:val="009F4FE6"/>
    <w:rsid w:val="009F5C26"/>
    <w:rsid w:val="009F5F7F"/>
    <w:rsid w:val="009F676B"/>
    <w:rsid w:val="009F688C"/>
    <w:rsid w:val="009F69D4"/>
    <w:rsid w:val="009F6CDB"/>
    <w:rsid w:val="009F795F"/>
    <w:rsid w:val="009F7CC7"/>
    <w:rsid w:val="00A006E8"/>
    <w:rsid w:val="00A00A3D"/>
    <w:rsid w:val="00A0134E"/>
    <w:rsid w:val="00A01941"/>
    <w:rsid w:val="00A01A46"/>
    <w:rsid w:val="00A01AA5"/>
    <w:rsid w:val="00A01CE8"/>
    <w:rsid w:val="00A01F72"/>
    <w:rsid w:val="00A023EE"/>
    <w:rsid w:val="00A02401"/>
    <w:rsid w:val="00A02C22"/>
    <w:rsid w:val="00A034C3"/>
    <w:rsid w:val="00A0397F"/>
    <w:rsid w:val="00A03B17"/>
    <w:rsid w:val="00A03C76"/>
    <w:rsid w:val="00A04565"/>
    <w:rsid w:val="00A04B8B"/>
    <w:rsid w:val="00A05709"/>
    <w:rsid w:val="00A05BF5"/>
    <w:rsid w:val="00A066C1"/>
    <w:rsid w:val="00A06962"/>
    <w:rsid w:val="00A06CA1"/>
    <w:rsid w:val="00A0758E"/>
    <w:rsid w:val="00A07636"/>
    <w:rsid w:val="00A077E8"/>
    <w:rsid w:val="00A0798D"/>
    <w:rsid w:val="00A07BD2"/>
    <w:rsid w:val="00A1022E"/>
    <w:rsid w:val="00A10273"/>
    <w:rsid w:val="00A10302"/>
    <w:rsid w:val="00A1073A"/>
    <w:rsid w:val="00A10EAA"/>
    <w:rsid w:val="00A11B1D"/>
    <w:rsid w:val="00A124B5"/>
    <w:rsid w:val="00A1256E"/>
    <w:rsid w:val="00A127EE"/>
    <w:rsid w:val="00A12853"/>
    <w:rsid w:val="00A1292F"/>
    <w:rsid w:val="00A1392F"/>
    <w:rsid w:val="00A13EDB"/>
    <w:rsid w:val="00A13FE0"/>
    <w:rsid w:val="00A14025"/>
    <w:rsid w:val="00A1458E"/>
    <w:rsid w:val="00A1477A"/>
    <w:rsid w:val="00A14B8C"/>
    <w:rsid w:val="00A14F90"/>
    <w:rsid w:val="00A15DD1"/>
    <w:rsid w:val="00A15EC5"/>
    <w:rsid w:val="00A16456"/>
    <w:rsid w:val="00A16D48"/>
    <w:rsid w:val="00A16EA7"/>
    <w:rsid w:val="00A1740A"/>
    <w:rsid w:val="00A176A0"/>
    <w:rsid w:val="00A17D56"/>
    <w:rsid w:val="00A17D72"/>
    <w:rsid w:val="00A20781"/>
    <w:rsid w:val="00A20AEB"/>
    <w:rsid w:val="00A20B47"/>
    <w:rsid w:val="00A20FC9"/>
    <w:rsid w:val="00A2106C"/>
    <w:rsid w:val="00A216A7"/>
    <w:rsid w:val="00A22229"/>
    <w:rsid w:val="00A22E38"/>
    <w:rsid w:val="00A22F6C"/>
    <w:rsid w:val="00A23302"/>
    <w:rsid w:val="00A23672"/>
    <w:rsid w:val="00A23791"/>
    <w:rsid w:val="00A23A21"/>
    <w:rsid w:val="00A23E7A"/>
    <w:rsid w:val="00A240CD"/>
    <w:rsid w:val="00A24490"/>
    <w:rsid w:val="00A249C6"/>
    <w:rsid w:val="00A24C4C"/>
    <w:rsid w:val="00A24CE6"/>
    <w:rsid w:val="00A252F8"/>
    <w:rsid w:val="00A26024"/>
    <w:rsid w:val="00A26171"/>
    <w:rsid w:val="00A265BE"/>
    <w:rsid w:val="00A266F7"/>
    <w:rsid w:val="00A26F77"/>
    <w:rsid w:val="00A26FC5"/>
    <w:rsid w:val="00A274C6"/>
    <w:rsid w:val="00A27501"/>
    <w:rsid w:val="00A279FF"/>
    <w:rsid w:val="00A27B2C"/>
    <w:rsid w:val="00A27D94"/>
    <w:rsid w:val="00A303CD"/>
    <w:rsid w:val="00A304AF"/>
    <w:rsid w:val="00A30589"/>
    <w:rsid w:val="00A30B8B"/>
    <w:rsid w:val="00A30D73"/>
    <w:rsid w:val="00A3127A"/>
    <w:rsid w:val="00A315FC"/>
    <w:rsid w:val="00A322B0"/>
    <w:rsid w:val="00A329EC"/>
    <w:rsid w:val="00A32D26"/>
    <w:rsid w:val="00A33917"/>
    <w:rsid w:val="00A33E2E"/>
    <w:rsid w:val="00A34144"/>
    <w:rsid w:val="00A3479D"/>
    <w:rsid w:val="00A3551C"/>
    <w:rsid w:val="00A356DC"/>
    <w:rsid w:val="00A35ADE"/>
    <w:rsid w:val="00A35B56"/>
    <w:rsid w:val="00A35E58"/>
    <w:rsid w:val="00A35EE4"/>
    <w:rsid w:val="00A3678B"/>
    <w:rsid w:val="00A367DA"/>
    <w:rsid w:val="00A36BEB"/>
    <w:rsid w:val="00A37353"/>
    <w:rsid w:val="00A374BA"/>
    <w:rsid w:val="00A376E8"/>
    <w:rsid w:val="00A37EDD"/>
    <w:rsid w:val="00A407FE"/>
    <w:rsid w:val="00A4103F"/>
    <w:rsid w:val="00A41292"/>
    <w:rsid w:val="00A41C28"/>
    <w:rsid w:val="00A42230"/>
    <w:rsid w:val="00A42368"/>
    <w:rsid w:val="00A42797"/>
    <w:rsid w:val="00A43AA6"/>
    <w:rsid w:val="00A43BB9"/>
    <w:rsid w:val="00A43CD6"/>
    <w:rsid w:val="00A43E10"/>
    <w:rsid w:val="00A442A1"/>
    <w:rsid w:val="00A44464"/>
    <w:rsid w:val="00A44612"/>
    <w:rsid w:val="00A447B7"/>
    <w:rsid w:val="00A4546B"/>
    <w:rsid w:val="00A459D3"/>
    <w:rsid w:val="00A45AF7"/>
    <w:rsid w:val="00A45B9D"/>
    <w:rsid w:val="00A45D03"/>
    <w:rsid w:val="00A466DD"/>
    <w:rsid w:val="00A46827"/>
    <w:rsid w:val="00A4686C"/>
    <w:rsid w:val="00A46B02"/>
    <w:rsid w:val="00A46B24"/>
    <w:rsid w:val="00A47441"/>
    <w:rsid w:val="00A47502"/>
    <w:rsid w:val="00A47664"/>
    <w:rsid w:val="00A47F9F"/>
    <w:rsid w:val="00A50157"/>
    <w:rsid w:val="00A502FA"/>
    <w:rsid w:val="00A503EC"/>
    <w:rsid w:val="00A506D7"/>
    <w:rsid w:val="00A5071C"/>
    <w:rsid w:val="00A51267"/>
    <w:rsid w:val="00A52ACF"/>
    <w:rsid w:val="00A53440"/>
    <w:rsid w:val="00A54AA5"/>
    <w:rsid w:val="00A555F2"/>
    <w:rsid w:val="00A55987"/>
    <w:rsid w:val="00A55AB0"/>
    <w:rsid w:val="00A55D30"/>
    <w:rsid w:val="00A55E29"/>
    <w:rsid w:val="00A56359"/>
    <w:rsid w:val="00A56A9B"/>
    <w:rsid w:val="00A56AF8"/>
    <w:rsid w:val="00A56DDF"/>
    <w:rsid w:val="00A57085"/>
    <w:rsid w:val="00A57940"/>
    <w:rsid w:val="00A60340"/>
    <w:rsid w:val="00A6036F"/>
    <w:rsid w:val="00A605DC"/>
    <w:rsid w:val="00A607C1"/>
    <w:rsid w:val="00A60844"/>
    <w:rsid w:val="00A60A9E"/>
    <w:rsid w:val="00A60FC2"/>
    <w:rsid w:val="00A61466"/>
    <w:rsid w:val="00A61579"/>
    <w:rsid w:val="00A61E26"/>
    <w:rsid w:val="00A624A2"/>
    <w:rsid w:val="00A62825"/>
    <w:rsid w:val="00A62896"/>
    <w:rsid w:val="00A62BAC"/>
    <w:rsid w:val="00A62C6D"/>
    <w:rsid w:val="00A63B52"/>
    <w:rsid w:val="00A6503B"/>
    <w:rsid w:val="00A65736"/>
    <w:rsid w:val="00A65791"/>
    <w:rsid w:val="00A65BCE"/>
    <w:rsid w:val="00A6639B"/>
    <w:rsid w:val="00A6641C"/>
    <w:rsid w:val="00A66957"/>
    <w:rsid w:val="00A6737D"/>
    <w:rsid w:val="00A673A6"/>
    <w:rsid w:val="00A67534"/>
    <w:rsid w:val="00A67690"/>
    <w:rsid w:val="00A67FEA"/>
    <w:rsid w:val="00A6CEFB"/>
    <w:rsid w:val="00A700FD"/>
    <w:rsid w:val="00A7023F"/>
    <w:rsid w:val="00A7048F"/>
    <w:rsid w:val="00A70752"/>
    <w:rsid w:val="00A70E4C"/>
    <w:rsid w:val="00A7106A"/>
    <w:rsid w:val="00A710A6"/>
    <w:rsid w:val="00A724A1"/>
    <w:rsid w:val="00A729D4"/>
    <w:rsid w:val="00A737BC"/>
    <w:rsid w:val="00A737F2"/>
    <w:rsid w:val="00A73A89"/>
    <w:rsid w:val="00A74758"/>
    <w:rsid w:val="00A74769"/>
    <w:rsid w:val="00A74B02"/>
    <w:rsid w:val="00A74BA8"/>
    <w:rsid w:val="00A74BC6"/>
    <w:rsid w:val="00A74D39"/>
    <w:rsid w:val="00A75232"/>
    <w:rsid w:val="00A756DE"/>
    <w:rsid w:val="00A75723"/>
    <w:rsid w:val="00A75777"/>
    <w:rsid w:val="00A757F4"/>
    <w:rsid w:val="00A76025"/>
    <w:rsid w:val="00A767D5"/>
    <w:rsid w:val="00A769FF"/>
    <w:rsid w:val="00A76AD2"/>
    <w:rsid w:val="00A76CD9"/>
    <w:rsid w:val="00A77046"/>
    <w:rsid w:val="00A77304"/>
    <w:rsid w:val="00A77459"/>
    <w:rsid w:val="00A77D77"/>
    <w:rsid w:val="00A77D7C"/>
    <w:rsid w:val="00A80A7D"/>
    <w:rsid w:val="00A81063"/>
    <w:rsid w:val="00A814E2"/>
    <w:rsid w:val="00A8232B"/>
    <w:rsid w:val="00A826A2"/>
    <w:rsid w:val="00A829E1"/>
    <w:rsid w:val="00A82A02"/>
    <w:rsid w:val="00A83098"/>
    <w:rsid w:val="00A834A0"/>
    <w:rsid w:val="00A84BCE"/>
    <w:rsid w:val="00A84C01"/>
    <w:rsid w:val="00A84C72"/>
    <w:rsid w:val="00A84EB6"/>
    <w:rsid w:val="00A85375"/>
    <w:rsid w:val="00A85586"/>
    <w:rsid w:val="00A85986"/>
    <w:rsid w:val="00A85A3F"/>
    <w:rsid w:val="00A85A67"/>
    <w:rsid w:val="00A8673E"/>
    <w:rsid w:val="00A86BD5"/>
    <w:rsid w:val="00A87208"/>
    <w:rsid w:val="00A8731E"/>
    <w:rsid w:val="00A87394"/>
    <w:rsid w:val="00A87A88"/>
    <w:rsid w:val="00A90C28"/>
    <w:rsid w:val="00A912CD"/>
    <w:rsid w:val="00A913C1"/>
    <w:rsid w:val="00A9160C"/>
    <w:rsid w:val="00A91766"/>
    <w:rsid w:val="00A919BC"/>
    <w:rsid w:val="00A91BB4"/>
    <w:rsid w:val="00A91C13"/>
    <w:rsid w:val="00A91D20"/>
    <w:rsid w:val="00A91E37"/>
    <w:rsid w:val="00A92D54"/>
    <w:rsid w:val="00A93692"/>
    <w:rsid w:val="00A93AD3"/>
    <w:rsid w:val="00A94158"/>
    <w:rsid w:val="00A94204"/>
    <w:rsid w:val="00A94A30"/>
    <w:rsid w:val="00A94A60"/>
    <w:rsid w:val="00A94ECB"/>
    <w:rsid w:val="00A95494"/>
    <w:rsid w:val="00A95703"/>
    <w:rsid w:val="00A9575A"/>
    <w:rsid w:val="00A95C66"/>
    <w:rsid w:val="00A95D32"/>
    <w:rsid w:val="00A95F23"/>
    <w:rsid w:val="00A9639E"/>
    <w:rsid w:val="00A96D67"/>
    <w:rsid w:val="00A96FE1"/>
    <w:rsid w:val="00A9726F"/>
    <w:rsid w:val="00A97459"/>
    <w:rsid w:val="00A97683"/>
    <w:rsid w:val="00A977F7"/>
    <w:rsid w:val="00A97BE0"/>
    <w:rsid w:val="00A97C23"/>
    <w:rsid w:val="00AA0192"/>
    <w:rsid w:val="00AA08A8"/>
    <w:rsid w:val="00AA0AEF"/>
    <w:rsid w:val="00AA11BB"/>
    <w:rsid w:val="00AA18AF"/>
    <w:rsid w:val="00AA1CBD"/>
    <w:rsid w:val="00AA2391"/>
    <w:rsid w:val="00AA2403"/>
    <w:rsid w:val="00AA2736"/>
    <w:rsid w:val="00AA2F4F"/>
    <w:rsid w:val="00AA3A32"/>
    <w:rsid w:val="00AA3B94"/>
    <w:rsid w:val="00AA3DE1"/>
    <w:rsid w:val="00AA48D0"/>
    <w:rsid w:val="00AA50ED"/>
    <w:rsid w:val="00AA553D"/>
    <w:rsid w:val="00AA5A3D"/>
    <w:rsid w:val="00AA5B6F"/>
    <w:rsid w:val="00AA6237"/>
    <w:rsid w:val="00AA63B3"/>
    <w:rsid w:val="00AA6B76"/>
    <w:rsid w:val="00AA73E3"/>
    <w:rsid w:val="00AA7639"/>
    <w:rsid w:val="00AB04A7"/>
    <w:rsid w:val="00AB0ADB"/>
    <w:rsid w:val="00AB12B0"/>
    <w:rsid w:val="00AB1338"/>
    <w:rsid w:val="00AB1780"/>
    <w:rsid w:val="00AB1ADE"/>
    <w:rsid w:val="00AB25A4"/>
    <w:rsid w:val="00AB293D"/>
    <w:rsid w:val="00AB2E0F"/>
    <w:rsid w:val="00AB2FB2"/>
    <w:rsid w:val="00AB3320"/>
    <w:rsid w:val="00AB33ED"/>
    <w:rsid w:val="00AB37F9"/>
    <w:rsid w:val="00AB3B2A"/>
    <w:rsid w:val="00AB44F6"/>
    <w:rsid w:val="00AB47A6"/>
    <w:rsid w:val="00AB4AA1"/>
    <w:rsid w:val="00AB4D23"/>
    <w:rsid w:val="00AB51E7"/>
    <w:rsid w:val="00AB5273"/>
    <w:rsid w:val="00AB532C"/>
    <w:rsid w:val="00AB5397"/>
    <w:rsid w:val="00AB5733"/>
    <w:rsid w:val="00AB5A0E"/>
    <w:rsid w:val="00AB5EB8"/>
    <w:rsid w:val="00AB6026"/>
    <w:rsid w:val="00AB6459"/>
    <w:rsid w:val="00AB69FD"/>
    <w:rsid w:val="00AB6AAA"/>
    <w:rsid w:val="00AB70EA"/>
    <w:rsid w:val="00AB7372"/>
    <w:rsid w:val="00AB7438"/>
    <w:rsid w:val="00AB767F"/>
    <w:rsid w:val="00AB7F9D"/>
    <w:rsid w:val="00AC02B2"/>
    <w:rsid w:val="00AC0EBD"/>
    <w:rsid w:val="00AC0FA0"/>
    <w:rsid w:val="00AC2296"/>
    <w:rsid w:val="00AC23A2"/>
    <w:rsid w:val="00AC2840"/>
    <w:rsid w:val="00AC2991"/>
    <w:rsid w:val="00AC2C90"/>
    <w:rsid w:val="00AC2E41"/>
    <w:rsid w:val="00AC2EEB"/>
    <w:rsid w:val="00AC2F43"/>
    <w:rsid w:val="00AC31F5"/>
    <w:rsid w:val="00AC33B1"/>
    <w:rsid w:val="00AC40FF"/>
    <w:rsid w:val="00AC436A"/>
    <w:rsid w:val="00AC45E6"/>
    <w:rsid w:val="00AC4704"/>
    <w:rsid w:val="00AC48EC"/>
    <w:rsid w:val="00AC49E3"/>
    <w:rsid w:val="00AC4E55"/>
    <w:rsid w:val="00AC5584"/>
    <w:rsid w:val="00AC5621"/>
    <w:rsid w:val="00AC5854"/>
    <w:rsid w:val="00AC5BF9"/>
    <w:rsid w:val="00AC5D78"/>
    <w:rsid w:val="00AC6DD7"/>
    <w:rsid w:val="00AC70DB"/>
    <w:rsid w:val="00AC7AC1"/>
    <w:rsid w:val="00AC7F89"/>
    <w:rsid w:val="00AD00F7"/>
    <w:rsid w:val="00AD230D"/>
    <w:rsid w:val="00AD2460"/>
    <w:rsid w:val="00AD2C19"/>
    <w:rsid w:val="00AD3940"/>
    <w:rsid w:val="00AD3A48"/>
    <w:rsid w:val="00AD48F4"/>
    <w:rsid w:val="00AD4E01"/>
    <w:rsid w:val="00AD4E72"/>
    <w:rsid w:val="00AD4EE4"/>
    <w:rsid w:val="00AD4FDE"/>
    <w:rsid w:val="00AD5120"/>
    <w:rsid w:val="00AD5463"/>
    <w:rsid w:val="00AD6026"/>
    <w:rsid w:val="00AD6220"/>
    <w:rsid w:val="00AD643B"/>
    <w:rsid w:val="00AD7408"/>
    <w:rsid w:val="00AD75BE"/>
    <w:rsid w:val="00AD7968"/>
    <w:rsid w:val="00AE0037"/>
    <w:rsid w:val="00AE06FE"/>
    <w:rsid w:val="00AE0709"/>
    <w:rsid w:val="00AE0D79"/>
    <w:rsid w:val="00AE1134"/>
    <w:rsid w:val="00AE11EF"/>
    <w:rsid w:val="00AE154F"/>
    <w:rsid w:val="00AE19A6"/>
    <w:rsid w:val="00AE1DF3"/>
    <w:rsid w:val="00AE1E30"/>
    <w:rsid w:val="00AE2142"/>
    <w:rsid w:val="00AE216F"/>
    <w:rsid w:val="00AE28A4"/>
    <w:rsid w:val="00AE29CB"/>
    <w:rsid w:val="00AE328E"/>
    <w:rsid w:val="00AE3750"/>
    <w:rsid w:val="00AE37D6"/>
    <w:rsid w:val="00AE3B89"/>
    <w:rsid w:val="00AE3B8F"/>
    <w:rsid w:val="00AE3F92"/>
    <w:rsid w:val="00AE4396"/>
    <w:rsid w:val="00AE4443"/>
    <w:rsid w:val="00AE4B70"/>
    <w:rsid w:val="00AE4D32"/>
    <w:rsid w:val="00AE4D81"/>
    <w:rsid w:val="00AE523C"/>
    <w:rsid w:val="00AE563C"/>
    <w:rsid w:val="00AE5A54"/>
    <w:rsid w:val="00AE5E1B"/>
    <w:rsid w:val="00AE5E53"/>
    <w:rsid w:val="00AE6114"/>
    <w:rsid w:val="00AE6210"/>
    <w:rsid w:val="00AE669B"/>
    <w:rsid w:val="00AE6F0A"/>
    <w:rsid w:val="00AE74F0"/>
    <w:rsid w:val="00AE7929"/>
    <w:rsid w:val="00AE7E04"/>
    <w:rsid w:val="00AF03CF"/>
    <w:rsid w:val="00AF07CE"/>
    <w:rsid w:val="00AF08BC"/>
    <w:rsid w:val="00AF0E5C"/>
    <w:rsid w:val="00AF12BA"/>
    <w:rsid w:val="00AF1427"/>
    <w:rsid w:val="00AF1930"/>
    <w:rsid w:val="00AF22C2"/>
    <w:rsid w:val="00AF244C"/>
    <w:rsid w:val="00AF2A1E"/>
    <w:rsid w:val="00AF2AD2"/>
    <w:rsid w:val="00AF2C7D"/>
    <w:rsid w:val="00AF3068"/>
    <w:rsid w:val="00AF37A5"/>
    <w:rsid w:val="00AF3C34"/>
    <w:rsid w:val="00AF4045"/>
    <w:rsid w:val="00AF4384"/>
    <w:rsid w:val="00AF440E"/>
    <w:rsid w:val="00AF471E"/>
    <w:rsid w:val="00AF4C2E"/>
    <w:rsid w:val="00AF520D"/>
    <w:rsid w:val="00AF5EE9"/>
    <w:rsid w:val="00AF6775"/>
    <w:rsid w:val="00AF7105"/>
    <w:rsid w:val="00AF752A"/>
    <w:rsid w:val="00AF7FD3"/>
    <w:rsid w:val="00B00111"/>
    <w:rsid w:val="00B00218"/>
    <w:rsid w:val="00B00FF3"/>
    <w:rsid w:val="00B01E11"/>
    <w:rsid w:val="00B01F8C"/>
    <w:rsid w:val="00B02769"/>
    <w:rsid w:val="00B02959"/>
    <w:rsid w:val="00B029D3"/>
    <w:rsid w:val="00B033D6"/>
    <w:rsid w:val="00B038CD"/>
    <w:rsid w:val="00B05054"/>
    <w:rsid w:val="00B0529F"/>
    <w:rsid w:val="00B05499"/>
    <w:rsid w:val="00B05A9E"/>
    <w:rsid w:val="00B05DAE"/>
    <w:rsid w:val="00B0658B"/>
    <w:rsid w:val="00B06C73"/>
    <w:rsid w:val="00B1014D"/>
    <w:rsid w:val="00B10362"/>
    <w:rsid w:val="00B104D6"/>
    <w:rsid w:val="00B10607"/>
    <w:rsid w:val="00B10769"/>
    <w:rsid w:val="00B10867"/>
    <w:rsid w:val="00B10B78"/>
    <w:rsid w:val="00B11014"/>
    <w:rsid w:val="00B11972"/>
    <w:rsid w:val="00B11A84"/>
    <w:rsid w:val="00B11C7A"/>
    <w:rsid w:val="00B11DA5"/>
    <w:rsid w:val="00B139B9"/>
    <w:rsid w:val="00B13C7E"/>
    <w:rsid w:val="00B147AD"/>
    <w:rsid w:val="00B14B75"/>
    <w:rsid w:val="00B14D82"/>
    <w:rsid w:val="00B14FA1"/>
    <w:rsid w:val="00B14FAC"/>
    <w:rsid w:val="00B15148"/>
    <w:rsid w:val="00B1515C"/>
    <w:rsid w:val="00B151BB"/>
    <w:rsid w:val="00B1534C"/>
    <w:rsid w:val="00B15835"/>
    <w:rsid w:val="00B15ADE"/>
    <w:rsid w:val="00B15EE6"/>
    <w:rsid w:val="00B16A44"/>
    <w:rsid w:val="00B16B55"/>
    <w:rsid w:val="00B16CD1"/>
    <w:rsid w:val="00B16E0F"/>
    <w:rsid w:val="00B16F04"/>
    <w:rsid w:val="00B177C2"/>
    <w:rsid w:val="00B17926"/>
    <w:rsid w:val="00B17AE2"/>
    <w:rsid w:val="00B17B82"/>
    <w:rsid w:val="00B17F7D"/>
    <w:rsid w:val="00B205FA"/>
    <w:rsid w:val="00B2091A"/>
    <w:rsid w:val="00B20F87"/>
    <w:rsid w:val="00B21097"/>
    <w:rsid w:val="00B214A9"/>
    <w:rsid w:val="00B224BA"/>
    <w:rsid w:val="00B228D6"/>
    <w:rsid w:val="00B22A72"/>
    <w:rsid w:val="00B22A80"/>
    <w:rsid w:val="00B2381C"/>
    <w:rsid w:val="00B23C28"/>
    <w:rsid w:val="00B23FBC"/>
    <w:rsid w:val="00B244D1"/>
    <w:rsid w:val="00B25474"/>
    <w:rsid w:val="00B25514"/>
    <w:rsid w:val="00B25533"/>
    <w:rsid w:val="00B257E4"/>
    <w:rsid w:val="00B25D14"/>
    <w:rsid w:val="00B25E0B"/>
    <w:rsid w:val="00B25F0A"/>
    <w:rsid w:val="00B26133"/>
    <w:rsid w:val="00B26355"/>
    <w:rsid w:val="00B263FE"/>
    <w:rsid w:val="00B276D8"/>
    <w:rsid w:val="00B27B01"/>
    <w:rsid w:val="00B303B1"/>
    <w:rsid w:val="00B30895"/>
    <w:rsid w:val="00B308EA"/>
    <w:rsid w:val="00B30B6A"/>
    <w:rsid w:val="00B30E87"/>
    <w:rsid w:val="00B317C6"/>
    <w:rsid w:val="00B31A19"/>
    <w:rsid w:val="00B31EBC"/>
    <w:rsid w:val="00B3259E"/>
    <w:rsid w:val="00B32B50"/>
    <w:rsid w:val="00B33418"/>
    <w:rsid w:val="00B3359E"/>
    <w:rsid w:val="00B33A01"/>
    <w:rsid w:val="00B34528"/>
    <w:rsid w:val="00B3483E"/>
    <w:rsid w:val="00B349CA"/>
    <w:rsid w:val="00B34BB2"/>
    <w:rsid w:val="00B34CD6"/>
    <w:rsid w:val="00B3508A"/>
    <w:rsid w:val="00B35366"/>
    <w:rsid w:val="00B359C2"/>
    <w:rsid w:val="00B36A3E"/>
    <w:rsid w:val="00B36B33"/>
    <w:rsid w:val="00B36C5A"/>
    <w:rsid w:val="00B36E23"/>
    <w:rsid w:val="00B37006"/>
    <w:rsid w:val="00B3771F"/>
    <w:rsid w:val="00B37E08"/>
    <w:rsid w:val="00B4031F"/>
    <w:rsid w:val="00B405E2"/>
    <w:rsid w:val="00B4091B"/>
    <w:rsid w:val="00B40D0F"/>
    <w:rsid w:val="00B41052"/>
    <w:rsid w:val="00B411AC"/>
    <w:rsid w:val="00B41942"/>
    <w:rsid w:val="00B41AFA"/>
    <w:rsid w:val="00B41C10"/>
    <w:rsid w:val="00B41C1C"/>
    <w:rsid w:val="00B4241D"/>
    <w:rsid w:val="00B4263E"/>
    <w:rsid w:val="00B4276B"/>
    <w:rsid w:val="00B429F0"/>
    <w:rsid w:val="00B42A59"/>
    <w:rsid w:val="00B42CB4"/>
    <w:rsid w:val="00B430B1"/>
    <w:rsid w:val="00B43541"/>
    <w:rsid w:val="00B43E36"/>
    <w:rsid w:val="00B4449A"/>
    <w:rsid w:val="00B4468F"/>
    <w:rsid w:val="00B4597C"/>
    <w:rsid w:val="00B459AE"/>
    <w:rsid w:val="00B4637E"/>
    <w:rsid w:val="00B469DB"/>
    <w:rsid w:val="00B46DAD"/>
    <w:rsid w:val="00B46F4B"/>
    <w:rsid w:val="00B47C1D"/>
    <w:rsid w:val="00B50EF3"/>
    <w:rsid w:val="00B51891"/>
    <w:rsid w:val="00B51985"/>
    <w:rsid w:val="00B51BD5"/>
    <w:rsid w:val="00B51DA2"/>
    <w:rsid w:val="00B52693"/>
    <w:rsid w:val="00B52915"/>
    <w:rsid w:val="00B52E09"/>
    <w:rsid w:val="00B53773"/>
    <w:rsid w:val="00B53FE5"/>
    <w:rsid w:val="00B5439B"/>
    <w:rsid w:val="00B545C1"/>
    <w:rsid w:val="00B54716"/>
    <w:rsid w:val="00B549A1"/>
    <w:rsid w:val="00B54B3F"/>
    <w:rsid w:val="00B54CC6"/>
    <w:rsid w:val="00B54F5D"/>
    <w:rsid w:val="00B550B1"/>
    <w:rsid w:val="00B55E32"/>
    <w:rsid w:val="00B5603A"/>
    <w:rsid w:val="00B56427"/>
    <w:rsid w:val="00B568C1"/>
    <w:rsid w:val="00B57919"/>
    <w:rsid w:val="00B57A23"/>
    <w:rsid w:val="00B60362"/>
    <w:rsid w:val="00B6101A"/>
    <w:rsid w:val="00B612C0"/>
    <w:rsid w:val="00B61405"/>
    <w:rsid w:val="00B6183A"/>
    <w:rsid w:val="00B61F27"/>
    <w:rsid w:val="00B62117"/>
    <w:rsid w:val="00B62FA6"/>
    <w:rsid w:val="00B635C2"/>
    <w:rsid w:val="00B6389F"/>
    <w:rsid w:val="00B638BD"/>
    <w:rsid w:val="00B63C29"/>
    <w:rsid w:val="00B645F0"/>
    <w:rsid w:val="00B6479F"/>
    <w:rsid w:val="00B649C9"/>
    <w:rsid w:val="00B64DA0"/>
    <w:rsid w:val="00B65024"/>
    <w:rsid w:val="00B65397"/>
    <w:rsid w:val="00B655E9"/>
    <w:rsid w:val="00B659A2"/>
    <w:rsid w:val="00B65D95"/>
    <w:rsid w:val="00B6620D"/>
    <w:rsid w:val="00B662D4"/>
    <w:rsid w:val="00B6664F"/>
    <w:rsid w:val="00B6686D"/>
    <w:rsid w:val="00B6692D"/>
    <w:rsid w:val="00B66B53"/>
    <w:rsid w:val="00B672CD"/>
    <w:rsid w:val="00B6746C"/>
    <w:rsid w:val="00B67B8A"/>
    <w:rsid w:val="00B67E46"/>
    <w:rsid w:val="00B67E4C"/>
    <w:rsid w:val="00B67E66"/>
    <w:rsid w:val="00B70315"/>
    <w:rsid w:val="00B7044B"/>
    <w:rsid w:val="00B70893"/>
    <w:rsid w:val="00B71456"/>
    <w:rsid w:val="00B7147F"/>
    <w:rsid w:val="00B71604"/>
    <w:rsid w:val="00B722C9"/>
    <w:rsid w:val="00B72651"/>
    <w:rsid w:val="00B72E44"/>
    <w:rsid w:val="00B735B0"/>
    <w:rsid w:val="00B7391B"/>
    <w:rsid w:val="00B73B82"/>
    <w:rsid w:val="00B73E18"/>
    <w:rsid w:val="00B74206"/>
    <w:rsid w:val="00B74323"/>
    <w:rsid w:val="00B74A28"/>
    <w:rsid w:val="00B74C83"/>
    <w:rsid w:val="00B75B2B"/>
    <w:rsid w:val="00B7661D"/>
    <w:rsid w:val="00B775A3"/>
    <w:rsid w:val="00B77874"/>
    <w:rsid w:val="00B779B1"/>
    <w:rsid w:val="00B801F2"/>
    <w:rsid w:val="00B802A4"/>
    <w:rsid w:val="00B80590"/>
    <w:rsid w:val="00B81934"/>
    <w:rsid w:val="00B81972"/>
    <w:rsid w:val="00B8200C"/>
    <w:rsid w:val="00B821FB"/>
    <w:rsid w:val="00B822B6"/>
    <w:rsid w:val="00B825FA"/>
    <w:rsid w:val="00B82681"/>
    <w:rsid w:val="00B82F72"/>
    <w:rsid w:val="00B83C04"/>
    <w:rsid w:val="00B844B6"/>
    <w:rsid w:val="00B84D60"/>
    <w:rsid w:val="00B84FFE"/>
    <w:rsid w:val="00B8589C"/>
    <w:rsid w:val="00B85957"/>
    <w:rsid w:val="00B860CA"/>
    <w:rsid w:val="00B864E3"/>
    <w:rsid w:val="00B86732"/>
    <w:rsid w:val="00B873E7"/>
    <w:rsid w:val="00B9095D"/>
    <w:rsid w:val="00B910B5"/>
    <w:rsid w:val="00B915B5"/>
    <w:rsid w:val="00B91E2A"/>
    <w:rsid w:val="00B922FA"/>
    <w:rsid w:val="00B925E2"/>
    <w:rsid w:val="00B93FD0"/>
    <w:rsid w:val="00B94035"/>
    <w:rsid w:val="00B941EB"/>
    <w:rsid w:val="00B94C04"/>
    <w:rsid w:val="00B95224"/>
    <w:rsid w:val="00B95B6F"/>
    <w:rsid w:val="00B95E6A"/>
    <w:rsid w:val="00B962D0"/>
    <w:rsid w:val="00B9695D"/>
    <w:rsid w:val="00B96AC6"/>
    <w:rsid w:val="00B97472"/>
    <w:rsid w:val="00B976BD"/>
    <w:rsid w:val="00B97AE4"/>
    <w:rsid w:val="00BA007D"/>
    <w:rsid w:val="00BA0473"/>
    <w:rsid w:val="00BA097B"/>
    <w:rsid w:val="00BA102C"/>
    <w:rsid w:val="00BA11F6"/>
    <w:rsid w:val="00BA2CD3"/>
    <w:rsid w:val="00BA3292"/>
    <w:rsid w:val="00BA32A3"/>
    <w:rsid w:val="00BA358D"/>
    <w:rsid w:val="00BA35CD"/>
    <w:rsid w:val="00BA3B46"/>
    <w:rsid w:val="00BA3E97"/>
    <w:rsid w:val="00BA406B"/>
    <w:rsid w:val="00BA40A8"/>
    <w:rsid w:val="00BA4A75"/>
    <w:rsid w:val="00BA4B82"/>
    <w:rsid w:val="00BA5A69"/>
    <w:rsid w:val="00BA6132"/>
    <w:rsid w:val="00BA6395"/>
    <w:rsid w:val="00BA69B6"/>
    <w:rsid w:val="00BA7054"/>
    <w:rsid w:val="00BA786B"/>
    <w:rsid w:val="00BA7AEC"/>
    <w:rsid w:val="00BA7BF1"/>
    <w:rsid w:val="00BA7F8E"/>
    <w:rsid w:val="00BB03D5"/>
    <w:rsid w:val="00BB07FA"/>
    <w:rsid w:val="00BB11B7"/>
    <w:rsid w:val="00BB11E0"/>
    <w:rsid w:val="00BB1996"/>
    <w:rsid w:val="00BB1DF3"/>
    <w:rsid w:val="00BB1EBF"/>
    <w:rsid w:val="00BB207B"/>
    <w:rsid w:val="00BB2587"/>
    <w:rsid w:val="00BB25D9"/>
    <w:rsid w:val="00BB2B4C"/>
    <w:rsid w:val="00BB2F38"/>
    <w:rsid w:val="00BB30CD"/>
    <w:rsid w:val="00BB35A9"/>
    <w:rsid w:val="00BB3EF0"/>
    <w:rsid w:val="00BB4740"/>
    <w:rsid w:val="00BB480D"/>
    <w:rsid w:val="00BB4ED6"/>
    <w:rsid w:val="00BB4FAF"/>
    <w:rsid w:val="00BB5470"/>
    <w:rsid w:val="00BB5808"/>
    <w:rsid w:val="00BB5FA1"/>
    <w:rsid w:val="00BB630B"/>
    <w:rsid w:val="00BB65BC"/>
    <w:rsid w:val="00BB661E"/>
    <w:rsid w:val="00BB663E"/>
    <w:rsid w:val="00BB6CCD"/>
    <w:rsid w:val="00BB721E"/>
    <w:rsid w:val="00BB7618"/>
    <w:rsid w:val="00BB7999"/>
    <w:rsid w:val="00BB7BCF"/>
    <w:rsid w:val="00BB7FC3"/>
    <w:rsid w:val="00BC0A52"/>
    <w:rsid w:val="00BC1492"/>
    <w:rsid w:val="00BC1624"/>
    <w:rsid w:val="00BC175F"/>
    <w:rsid w:val="00BC20CE"/>
    <w:rsid w:val="00BC2570"/>
    <w:rsid w:val="00BC2705"/>
    <w:rsid w:val="00BC2AA7"/>
    <w:rsid w:val="00BC3448"/>
    <w:rsid w:val="00BC357A"/>
    <w:rsid w:val="00BC393B"/>
    <w:rsid w:val="00BC42D8"/>
    <w:rsid w:val="00BC437E"/>
    <w:rsid w:val="00BC442A"/>
    <w:rsid w:val="00BC467C"/>
    <w:rsid w:val="00BC4E79"/>
    <w:rsid w:val="00BC4F7B"/>
    <w:rsid w:val="00BC5E0B"/>
    <w:rsid w:val="00BC5E12"/>
    <w:rsid w:val="00BC66CD"/>
    <w:rsid w:val="00BC6AB3"/>
    <w:rsid w:val="00BC727C"/>
    <w:rsid w:val="00BC7C46"/>
    <w:rsid w:val="00BC7C8A"/>
    <w:rsid w:val="00BD0566"/>
    <w:rsid w:val="00BD14B4"/>
    <w:rsid w:val="00BD1F67"/>
    <w:rsid w:val="00BD1FAD"/>
    <w:rsid w:val="00BD2256"/>
    <w:rsid w:val="00BD22A5"/>
    <w:rsid w:val="00BD2378"/>
    <w:rsid w:val="00BD287B"/>
    <w:rsid w:val="00BD2C53"/>
    <w:rsid w:val="00BD329E"/>
    <w:rsid w:val="00BD3B75"/>
    <w:rsid w:val="00BD3D15"/>
    <w:rsid w:val="00BD4130"/>
    <w:rsid w:val="00BD4A1F"/>
    <w:rsid w:val="00BD50ED"/>
    <w:rsid w:val="00BD543B"/>
    <w:rsid w:val="00BD553A"/>
    <w:rsid w:val="00BD55AB"/>
    <w:rsid w:val="00BD5615"/>
    <w:rsid w:val="00BD5A04"/>
    <w:rsid w:val="00BD6071"/>
    <w:rsid w:val="00BD6225"/>
    <w:rsid w:val="00BD6414"/>
    <w:rsid w:val="00BD6AC2"/>
    <w:rsid w:val="00BD6E99"/>
    <w:rsid w:val="00BD7121"/>
    <w:rsid w:val="00BD7175"/>
    <w:rsid w:val="00BD7657"/>
    <w:rsid w:val="00BD770B"/>
    <w:rsid w:val="00BD7813"/>
    <w:rsid w:val="00BD7F44"/>
    <w:rsid w:val="00BE0060"/>
    <w:rsid w:val="00BE095F"/>
    <w:rsid w:val="00BE09F7"/>
    <w:rsid w:val="00BE0E31"/>
    <w:rsid w:val="00BE170C"/>
    <w:rsid w:val="00BE249B"/>
    <w:rsid w:val="00BE2DE9"/>
    <w:rsid w:val="00BE3178"/>
    <w:rsid w:val="00BE3AD5"/>
    <w:rsid w:val="00BE3FCE"/>
    <w:rsid w:val="00BE4906"/>
    <w:rsid w:val="00BE4CFC"/>
    <w:rsid w:val="00BE544A"/>
    <w:rsid w:val="00BE62E2"/>
    <w:rsid w:val="00BE64AE"/>
    <w:rsid w:val="00BE69FC"/>
    <w:rsid w:val="00BE6DCE"/>
    <w:rsid w:val="00BE7324"/>
    <w:rsid w:val="00BE7331"/>
    <w:rsid w:val="00BF0175"/>
    <w:rsid w:val="00BF0742"/>
    <w:rsid w:val="00BF0A5C"/>
    <w:rsid w:val="00BF0A8F"/>
    <w:rsid w:val="00BF0C6F"/>
    <w:rsid w:val="00BF165C"/>
    <w:rsid w:val="00BF17E2"/>
    <w:rsid w:val="00BF19CB"/>
    <w:rsid w:val="00BF1B6B"/>
    <w:rsid w:val="00BF2B0D"/>
    <w:rsid w:val="00BF2C04"/>
    <w:rsid w:val="00BF2EDA"/>
    <w:rsid w:val="00BF3BC0"/>
    <w:rsid w:val="00BF3D2C"/>
    <w:rsid w:val="00BF3D3C"/>
    <w:rsid w:val="00BF3EF2"/>
    <w:rsid w:val="00BF41E8"/>
    <w:rsid w:val="00BF4CC8"/>
    <w:rsid w:val="00BF5C30"/>
    <w:rsid w:val="00BF5FA8"/>
    <w:rsid w:val="00BF6079"/>
    <w:rsid w:val="00BF6D65"/>
    <w:rsid w:val="00BF6D79"/>
    <w:rsid w:val="00BF6DB1"/>
    <w:rsid w:val="00BF6F00"/>
    <w:rsid w:val="00BF73A3"/>
    <w:rsid w:val="00BF7E3E"/>
    <w:rsid w:val="00C006F0"/>
    <w:rsid w:val="00C00C14"/>
    <w:rsid w:val="00C0108E"/>
    <w:rsid w:val="00C0124E"/>
    <w:rsid w:val="00C0199B"/>
    <w:rsid w:val="00C01E86"/>
    <w:rsid w:val="00C01F03"/>
    <w:rsid w:val="00C022CE"/>
    <w:rsid w:val="00C02318"/>
    <w:rsid w:val="00C0258E"/>
    <w:rsid w:val="00C02BAF"/>
    <w:rsid w:val="00C02DA0"/>
    <w:rsid w:val="00C03B1F"/>
    <w:rsid w:val="00C03F6E"/>
    <w:rsid w:val="00C03FC8"/>
    <w:rsid w:val="00C0435C"/>
    <w:rsid w:val="00C045E8"/>
    <w:rsid w:val="00C0485F"/>
    <w:rsid w:val="00C04EEC"/>
    <w:rsid w:val="00C04FFC"/>
    <w:rsid w:val="00C051EA"/>
    <w:rsid w:val="00C06162"/>
    <w:rsid w:val="00C0646D"/>
    <w:rsid w:val="00C06CAE"/>
    <w:rsid w:val="00C07045"/>
    <w:rsid w:val="00C07132"/>
    <w:rsid w:val="00C075A7"/>
    <w:rsid w:val="00C07890"/>
    <w:rsid w:val="00C0796B"/>
    <w:rsid w:val="00C07B18"/>
    <w:rsid w:val="00C07B6C"/>
    <w:rsid w:val="00C07BDD"/>
    <w:rsid w:val="00C07D06"/>
    <w:rsid w:val="00C07EE7"/>
    <w:rsid w:val="00C1010B"/>
    <w:rsid w:val="00C101BD"/>
    <w:rsid w:val="00C10399"/>
    <w:rsid w:val="00C1065B"/>
    <w:rsid w:val="00C10F45"/>
    <w:rsid w:val="00C113C8"/>
    <w:rsid w:val="00C11427"/>
    <w:rsid w:val="00C126AE"/>
    <w:rsid w:val="00C128F3"/>
    <w:rsid w:val="00C1324F"/>
    <w:rsid w:val="00C13423"/>
    <w:rsid w:val="00C1379D"/>
    <w:rsid w:val="00C13BB1"/>
    <w:rsid w:val="00C13ED4"/>
    <w:rsid w:val="00C1450E"/>
    <w:rsid w:val="00C14708"/>
    <w:rsid w:val="00C14901"/>
    <w:rsid w:val="00C149EC"/>
    <w:rsid w:val="00C154E2"/>
    <w:rsid w:val="00C15666"/>
    <w:rsid w:val="00C157AC"/>
    <w:rsid w:val="00C15D1F"/>
    <w:rsid w:val="00C16173"/>
    <w:rsid w:val="00C161E0"/>
    <w:rsid w:val="00C169AE"/>
    <w:rsid w:val="00C177DD"/>
    <w:rsid w:val="00C178DE"/>
    <w:rsid w:val="00C203C7"/>
    <w:rsid w:val="00C2040F"/>
    <w:rsid w:val="00C205F0"/>
    <w:rsid w:val="00C2073D"/>
    <w:rsid w:val="00C20935"/>
    <w:rsid w:val="00C20A1B"/>
    <w:rsid w:val="00C20B72"/>
    <w:rsid w:val="00C20FD7"/>
    <w:rsid w:val="00C2102D"/>
    <w:rsid w:val="00C2137A"/>
    <w:rsid w:val="00C213C0"/>
    <w:rsid w:val="00C214DF"/>
    <w:rsid w:val="00C21942"/>
    <w:rsid w:val="00C21AE8"/>
    <w:rsid w:val="00C22076"/>
    <w:rsid w:val="00C2220C"/>
    <w:rsid w:val="00C224DB"/>
    <w:rsid w:val="00C22535"/>
    <w:rsid w:val="00C2270E"/>
    <w:rsid w:val="00C2287E"/>
    <w:rsid w:val="00C22CA1"/>
    <w:rsid w:val="00C22E1F"/>
    <w:rsid w:val="00C232DF"/>
    <w:rsid w:val="00C23754"/>
    <w:rsid w:val="00C23EF4"/>
    <w:rsid w:val="00C2402A"/>
    <w:rsid w:val="00C2404E"/>
    <w:rsid w:val="00C2411F"/>
    <w:rsid w:val="00C24D72"/>
    <w:rsid w:val="00C261AD"/>
    <w:rsid w:val="00C26446"/>
    <w:rsid w:val="00C26886"/>
    <w:rsid w:val="00C27217"/>
    <w:rsid w:val="00C30045"/>
    <w:rsid w:val="00C3067C"/>
    <w:rsid w:val="00C307F6"/>
    <w:rsid w:val="00C30DC0"/>
    <w:rsid w:val="00C30EDA"/>
    <w:rsid w:val="00C31059"/>
    <w:rsid w:val="00C312B6"/>
    <w:rsid w:val="00C31711"/>
    <w:rsid w:val="00C321F1"/>
    <w:rsid w:val="00C33015"/>
    <w:rsid w:val="00C334C8"/>
    <w:rsid w:val="00C3360A"/>
    <w:rsid w:val="00C33BEC"/>
    <w:rsid w:val="00C3424F"/>
    <w:rsid w:val="00C344ED"/>
    <w:rsid w:val="00C34B24"/>
    <w:rsid w:val="00C34C33"/>
    <w:rsid w:val="00C35222"/>
    <w:rsid w:val="00C35887"/>
    <w:rsid w:val="00C35A11"/>
    <w:rsid w:val="00C35D48"/>
    <w:rsid w:val="00C3692E"/>
    <w:rsid w:val="00C36D23"/>
    <w:rsid w:val="00C37B71"/>
    <w:rsid w:val="00C4005C"/>
    <w:rsid w:val="00C407CC"/>
    <w:rsid w:val="00C40948"/>
    <w:rsid w:val="00C40C66"/>
    <w:rsid w:val="00C40EE4"/>
    <w:rsid w:val="00C411D7"/>
    <w:rsid w:val="00C4132F"/>
    <w:rsid w:val="00C424CD"/>
    <w:rsid w:val="00C426DD"/>
    <w:rsid w:val="00C42BC5"/>
    <w:rsid w:val="00C4307C"/>
    <w:rsid w:val="00C430DA"/>
    <w:rsid w:val="00C4333E"/>
    <w:rsid w:val="00C43373"/>
    <w:rsid w:val="00C43A55"/>
    <w:rsid w:val="00C43DC9"/>
    <w:rsid w:val="00C4406C"/>
    <w:rsid w:val="00C44698"/>
    <w:rsid w:val="00C449D1"/>
    <w:rsid w:val="00C449D6"/>
    <w:rsid w:val="00C455C1"/>
    <w:rsid w:val="00C45678"/>
    <w:rsid w:val="00C45B33"/>
    <w:rsid w:val="00C45C0B"/>
    <w:rsid w:val="00C46472"/>
    <w:rsid w:val="00C465D7"/>
    <w:rsid w:val="00C466E4"/>
    <w:rsid w:val="00C46767"/>
    <w:rsid w:val="00C47FB8"/>
    <w:rsid w:val="00C50149"/>
    <w:rsid w:val="00C50315"/>
    <w:rsid w:val="00C505B4"/>
    <w:rsid w:val="00C50759"/>
    <w:rsid w:val="00C51394"/>
    <w:rsid w:val="00C515CA"/>
    <w:rsid w:val="00C521A6"/>
    <w:rsid w:val="00C521BD"/>
    <w:rsid w:val="00C52BA3"/>
    <w:rsid w:val="00C52D6B"/>
    <w:rsid w:val="00C530D7"/>
    <w:rsid w:val="00C533CE"/>
    <w:rsid w:val="00C534DC"/>
    <w:rsid w:val="00C534E6"/>
    <w:rsid w:val="00C535C0"/>
    <w:rsid w:val="00C5372E"/>
    <w:rsid w:val="00C5396D"/>
    <w:rsid w:val="00C53D4C"/>
    <w:rsid w:val="00C53D52"/>
    <w:rsid w:val="00C549B1"/>
    <w:rsid w:val="00C54B13"/>
    <w:rsid w:val="00C55694"/>
    <w:rsid w:val="00C56242"/>
    <w:rsid w:val="00C564C1"/>
    <w:rsid w:val="00C5654A"/>
    <w:rsid w:val="00C5664B"/>
    <w:rsid w:val="00C56671"/>
    <w:rsid w:val="00C567A9"/>
    <w:rsid w:val="00C568C8"/>
    <w:rsid w:val="00C56D48"/>
    <w:rsid w:val="00C571E0"/>
    <w:rsid w:val="00C579EB"/>
    <w:rsid w:val="00C57AAE"/>
    <w:rsid w:val="00C57B5F"/>
    <w:rsid w:val="00C57C91"/>
    <w:rsid w:val="00C602DB"/>
    <w:rsid w:val="00C603E5"/>
    <w:rsid w:val="00C604D7"/>
    <w:rsid w:val="00C60A35"/>
    <w:rsid w:val="00C613C8"/>
    <w:rsid w:val="00C6151E"/>
    <w:rsid w:val="00C61DA9"/>
    <w:rsid w:val="00C61E08"/>
    <w:rsid w:val="00C62271"/>
    <w:rsid w:val="00C626D9"/>
    <w:rsid w:val="00C62960"/>
    <w:rsid w:val="00C629B5"/>
    <w:rsid w:val="00C635A1"/>
    <w:rsid w:val="00C635BA"/>
    <w:rsid w:val="00C639FE"/>
    <w:rsid w:val="00C63AA4"/>
    <w:rsid w:val="00C63BD0"/>
    <w:rsid w:val="00C63C18"/>
    <w:rsid w:val="00C64386"/>
    <w:rsid w:val="00C6470F"/>
    <w:rsid w:val="00C64A21"/>
    <w:rsid w:val="00C651AD"/>
    <w:rsid w:val="00C65653"/>
    <w:rsid w:val="00C65671"/>
    <w:rsid w:val="00C66F39"/>
    <w:rsid w:val="00C679BB"/>
    <w:rsid w:val="00C67B04"/>
    <w:rsid w:val="00C67FC9"/>
    <w:rsid w:val="00C70242"/>
    <w:rsid w:val="00C70F9B"/>
    <w:rsid w:val="00C71211"/>
    <w:rsid w:val="00C7148D"/>
    <w:rsid w:val="00C71940"/>
    <w:rsid w:val="00C71B47"/>
    <w:rsid w:val="00C71E2D"/>
    <w:rsid w:val="00C72488"/>
    <w:rsid w:val="00C728AA"/>
    <w:rsid w:val="00C72AE9"/>
    <w:rsid w:val="00C72C79"/>
    <w:rsid w:val="00C72DCA"/>
    <w:rsid w:val="00C7441C"/>
    <w:rsid w:val="00C74AE9"/>
    <w:rsid w:val="00C756C1"/>
    <w:rsid w:val="00C75FA1"/>
    <w:rsid w:val="00C766C4"/>
    <w:rsid w:val="00C76CA5"/>
    <w:rsid w:val="00C770B7"/>
    <w:rsid w:val="00C77522"/>
    <w:rsid w:val="00C77564"/>
    <w:rsid w:val="00C77999"/>
    <w:rsid w:val="00C7D82F"/>
    <w:rsid w:val="00C803F2"/>
    <w:rsid w:val="00C80477"/>
    <w:rsid w:val="00C80CC5"/>
    <w:rsid w:val="00C80EF3"/>
    <w:rsid w:val="00C81923"/>
    <w:rsid w:val="00C823E6"/>
    <w:rsid w:val="00C82715"/>
    <w:rsid w:val="00C82ED4"/>
    <w:rsid w:val="00C83008"/>
    <w:rsid w:val="00C83502"/>
    <w:rsid w:val="00C835C3"/>
    <w:rsid w:val="00C83729"/>
    <w:rsid w:val="00C83D2D"/>
    <w:rsid w:val="00C83E14"/>
    <w:rsid w:val="00C85596"/>
    <w:rsid w:val="00C85698"/>
    <w:rsid w:val="00C8604C"/>
    <w:rsid w:val="00C86704"/>
    <w:rsid w:val="00C87067"/>
    <w:rsid w:val="00C8721D"/>
    <w:rsid w:val="00C87A18"/>
    <w:rsid w:val="00C87BFE"/>
    <w:rsid w:val="00C87F4B"/>
    <w:rsid w:val="00C90146"/>
    <w:rsid w:val="00C906AB"/>
    <w:rsid w:val="00C90EA9"/>
    <w:rsid w:val="00C91916"/>
    <w:rsid w:val="00C91C2D"/>
    <w:rsid w:val="00C921B9"/>
    <w:rsid w:val="00C92220"/>
    <w:rsid w:val="00C92572"/>
    <w:rsid w:val="00C92ADA"/>
    <w:rsid w:val="00C933AC"/>
    <w:rsid w:val="00C93FB9"/>
    <w:rsid w:val="00C9413A"/>
    <w:rsid w:val="00C94466"/>
    <w:rsid w:val="00C946AC"/>
    <w:rsid w:val="00C94828"/>
    <w:rsid w:val="00C94980"/>
    <w:rsid w:val="00C94D3F"/>
    <w:rsid w:val="00C94DD1"/>
    <w:rsid w:val="00C95471"/>
    <w:rsid w:val="00C961A8"/>
    <w:rsid w:val="00C96628"/>
    <w:rsid w:val="00C96E57"/>
    <w:rsid w:val="00C97380"/>
    <w:rsid w:val="00C9775A"/>
    <w:rsid w:val="00C97B76"/>
    <w:rsid w:val="00CA03F2"/>
    <w:rsid w:val="00CA0650"/>
    <w:rsid w:val="00CA0691"/>
    <w:rsid w:val="00CA06A5"/>
    <w:rsid w:val="00CA09DB"/>
    <w:rsid w:val="00CA10E5"/>
    <w:rsid w:val="00CA1156"/>
    <w:rsid w:val="00CA13E8"/>
    <w:rsid w:val="00CA1540"/>
    <w:rsid w:val="00CA17CF"/>
    <w:rsid w:val="00CA1853"/>
    <w:rsid w:val="00CA18DD"/>
    <w:rsid w:val="00CA1A27"/>
    <w:rsid w:val="00CA2819"/>
    <w:rsid w:val="00CA2BB9"/>
    <w:rsid w:val="00CA2FFF"/>
    <w:rsid w:val="00CA3019"/>
    <w:rsid w:val="00CA3152"/>
    <w:rsid w:val="00CA334B"/>
    <w:rsid w:val="00CA3B84"/>
    <w:rsid w:val="00CA3EFD"/>
    <w:rsid w:val="00CA40B4"/>
    <w:rsid w:val="00CA4DA1"/>
    <w:rsid w:val="00CA4DCF"/>
    <w:rsid w:val="00CA4EC2"/>
    <w:rsid w:val="00CA4F97"/>
    <w:rsid w:val="00CA511B"/>
    <w:rsid w:val="00CA62BE"/>
    <w:rsid w:val="00CA645C"/>
    <w:rsid w:val="00CA6505"/>
    <w:rsid w:val="00CA663C"/>
    <w:rsid w:val="00CA6FE4"/>
    <w:rsid w:val="00CA71E4"/>
    <w:rsid w:val="00CA788C"/>
    <w:rsid w:val="00CA78CA"/>
    <w:rsid w:val="00CA7A7D"/>
    <w:rsid w:val="00CB007D"/>
    <w:rsid w:val="00CB0333"/>
    <w:rsid w:val="00CB03EA"/>
    <w:rsid w:val="00CB07BA"/>
    <w:rsid w:val="00CB0882"/>
    <w:rsid w:val="00CB0B31"/>
    <w:rsid w:val="00CB0BD1"/>
    <w:rsid w:val="00CB170F"/>
    <w:rsid w:val="00CB17B6"/>
    <w:rsid w:val="00CB1A12"/>
    <w:rsid w:val="00CB1FE2"/>
    <w:rsid w:val="00CB2C13"/>
    <w:rsid w:val="00CB30F5"/>
    <w:rsid w:val="00CB3337"/>
    <w:rsid w:val="00CB34DD"/>
    <w:rsid w:val="00CB3D52"/>
    <w:rsid w:val="00CB458A"/>
    <w:rsid w:val="00CB4B6C"/>
    <w:rsid w:val="00CB4BA2"/>
    <w:rsid w:val="00CB4D50"/>
    <w:rsid w:val="00CB4ED3"/>
    <w:rsid w:val="00CB5042"/>
    <w:rsid w:val="00CB521B"/>
    <w:rsid w:val="00CB5395"/>
    <w:rsid w:val="00CB54BF"/>
    <w:rsid w:val="00CB647E"/>
    <w:rsid w:val="00CB6C47"/>
    <w:rsid w:val="00CB70DE"/>
    <w:rsid w:val="00CB7B0D"/>
    <w:rsid w:val="00CC017E"/>
    <w:rsid w:val="00CC1566"/>
    <w:rsid w:val="00CC1788"/>
    <w:rsid w:val="00CC2219"/>
    <w:rsid w:val="00CC294D"/>
    <w:rsid w:val="00CC3A42"/>
    <w:rsid w:val="00CC4C04"/>
    <w:rsid w:val="00CC4D90"/>
    <w:rsid w:val="00CC5087"/>
    <w:rsid w:val="00CC51C2"/>
    <w:rsid w:val="00CC5666"/>
    <w:rsid w:val="00CC5717"/>
    <w:rsid w:val="00CC5771"/>
    <w:rsid w:val="00CC595C"/>
    <w:rsid w:val="00CC5C72"/>
    <w:rsid w:val="00CC5DE7"/>
    <w:rsid w:val="00CC5EF7"/>
    <w:rsid w:val="00CC604F"/>
    <w:rsid w:val="00CC67F3"/>
    <w:rsid w:val="00CC75FD"/>
    <w:rsid w:val="00CC7C56"/>
    <w:rsid w:val="00CD00A1"/>
    <w:rsid w:val="00CD01FA"/>
    <w:rsid w:val="00CD0274"/>
    <w:rsid w:val="00CD0D22"/>
    <w:rsid w:val="00CD1140"/>
    <w:rsid w:val="00CD17AA"/>
    <w:rsid w:val="00CD1874"/>
    <w:rsid w:val="00CD19F7"/>
    <w:rsid w:val="00CD244F"/>
    <w:rsid w:val="00CD2B4D"/>
    <w:rsid w:val="00CD33A6"/>
    <w:rsid w:val="00CD3C16"/>
    <w:rsid w:val="00CD3CBC"/>
    <w:rsid w:val="00CD3D6A"/>
    <w:rsid w:val="00CD477E"/>
    <w:rsid w:val="00CD4AD7"/>
    <w:rsid w:val="00CD53BB"/>
    <w:rsid w:val="00CD5481"/>
    <w:rsid w:val="00CD5A02"/>
    <w:rsid w:val="00CD5AEE"/>
    <w:rsid w:val="00CD6353"/>
    <w:rsid w:val="00CD64D1"/>
    <w:rsid w:val="00CD666D"/>
    <w:rsid w:val="00CD75F0"/>
    <w:rsid w:val="00CD7D47"/>
    <w:rsid w:val="00CD7F91"/>
    <w:rsid w:val="00CE0083"/>
    <w:rsid w:val="00CE09F4"/>
    <w:rsid w:val="00CE1345"/>
    <w:rsid w:val="00CE16A5"/>
    <w:rsid w:val="00CE18C2"/>
    <w:rsid w:val="00CE18EB"/>
    <w:rsid w:val="00CE1B4B"/>
    <w:rsid w:val="00CE2157"/>
    <w:rsid w:val="00CE22D8"/>
    <w:rsid w:val="00CE22F4"/>
    <w:rsid w:val="00CE25A0"/>
    <w:rsid w:val="00CE27DA"/>
    <w:rsid w:val="00CE2B14"/>
    <w:rsid w:val="00CE3ECB"/>
    <w:rsid w:val="00CE3F37"/>
    <w:rsid w:val="00CE40BF"/>
    <w:rsid w:val="00CE44D6"/>
    <w:rsid w:val="00CE4BFF"/>
    <w:rsid w:val="00CE538C"/>
    <w:rsid w:val="00CE556A"/>
    <w:rsid w:val="00CE5987"/>
    <w:rsid w:val="00CE59B7"/>
    <w:rsid w:val="00CE60C5"/>
    <w:rsid w:val="00CE63AE"/>
    <w:rsid w:val="00CE64EF"/>
    <w:rsid w:val="00CE671A"/>
    <w:rsid w:val="00CE6CC8"/>
    <w:rsid w:val="00CE6D49"/>
    <w:rsid w:val="00CE7241"/>
    <w:rsid w:val="00CE7404"/>
    <w:rsid w:val="00CE7AD1"/>
    <w:rsid w:val="00CF02FC"/>
    <w:rsid w:val="00CF0945"/>
    <w:rsid w:val="00CF0DA5"/>
    <w:rsid w:val="00CF0E5C"/>
    <w:rsid w:val="00CF10EE"/>
    <w:rsid w:val="00CF15D3"/>
    <w:rsid w:val="00CF1BC2"/>
    <w:rsid w:val="00CF1C47"/>
    <w:rsid w:val="00CF20FE"/>
    <w:rsid w:val="00CF2DE8"/>
    <w:rsid w:val="00CF3C1C"/>
    <w:rsid w:val="00CF40D2"/>
    <w:rsid w:val="00CF4878"/>
    <w:rsid w:val="00CF50A5"/>
    <w:rsid w:val="00CF5364"/>
    <w:rsid w:val="00CF53CD"/>
    <w:rsid w:val="00CF604F"/>
    <w:rsid w:val="00CF6AB5"/>
    <w:rsid w:val="00CF6BDF"/>
    <w:rsid w:val="00CF6DAC"/>
    <w:rsid w:val="00D00574"/>
    <w:rsid w:val="00D0064A"/>
    <w:rsid w:val="00D00E11"/>
    <w:rsid w:val="00D01727"/>
    <w:rsid w:val="00D01CF9"/>
    <w:rsid w:val="00D023FD"/>
    <w:rsid w:val="00D02A39"/>
    <w:rsid w:val="00D03048"/>
    <w:rsid w:val="00D033E7"/>
    <w:rsid w:val="00D0378F"/>
    <w:rsid w:val="00D03A4A"/>
    <w:rsid w:val="00D041C0"/>
    <w:rsid w:val="00D04AAD"/>
    <w:rsid w:val="00D04F9E"/>
    <w:rsid w:val="00D05983"/>
    <w:rsid w:val="00D05A2D"/>
    <w:rsid w:val="00D06304"/>
    <w:rsid w:val="00D066D2"/>
    <w:rsid w:val="00D067B7"/>
    <w:rsid w:val="00D071BB"/>
    <w:rsid w:val="00D078CC"/>
    <w:rsid w:val="00D07A69"/>
    <w:rsid w:val="00D07E88"/>
    <w:rsid w:val="00D10298"/>
    <w:rsid w:val="00D11317"/>
    <w:rsid w:val="00D1132B"/>
    <w:rsid w:val="00D118F5"/>
    <w:rsid w:val="00D11C96"/>
    <w:rsid w:val="00D12262"/>
    <w:rsid w:val="00D12371"/>
    <w:rsid w:val="00D123BC"/>
    <w:rsid w:val="00D12E5D"/>
    <w:rsid w:val="00D13522"/>
    <w:rsid w:val="00D135CB"/>
    <w:rsid w:val="00D13D0D"/>
    <w:rsid w:val="00D13F48"/>
    <w:rsid w:val="00D1479A"/>
    <w:rsid w:val="00D147C6"/>
    <w:rsid w:val="00D14D65"/>
    <w:rsid w:val="00D151F4"/>
    <w:rsid w:val="00D15752"/>
    <w:rsid w:val="00D1579A"/>
    <w:rsid w:val="00D15AEF"/>
    <w:rsid w:val="00D1605B"/>
    <w:rsid w:val="00D1620A"/>
    <w:rsid w:val="00D16339"/>
    <w:rsid w:val="00D16F37"/>
    <w:rsid w:val="00D16F68"/>
    <w:rsid w:val="00D17008"/>
    <w:rsid w:val="00D1708D"/>
    <w:rsid w:val="00D17144"/>
    <w:rsid w:val="00D17195"/>
    <w:rsid w:val="00D1729B"/>
    <w:rsid w:val="00D17334"/>
    <w:rsid w:val="00D1748B"/>
    <w:rsid w:val="00D176EB"/>
    <w:rsid w:val="00D179D5"/>
    <w:rsid w:val="00D17A38"/>
    <w:rsid w:val="00D20233"/>
    <w:rsid w:val="00D203BC"/>
    <w:rsid w:val="00D2053E"/>
    <w:rsid w:val="00D208E3"/>
    <w:rsid w:val="00D20F5A"/>
    <w:rsid w:val="00D20FD0"/>
    <w:rsid w:val="00D210E9"/>
    <w:rsid w:val="00D21113"/>
    <w:rsid w:val="00D212E8"/>
    <w:rsid w:val="00D21702"/>
    <w:rsid w:val="00D22003"/>
    <w:rsid w:val="00D225AA"/>
    <w:rsid w:val="00D22B40"/>
    <w:rsid w:val="00D22BAB"/>
    <w:rsid w:val="00D22E6A"/>
    <w:rsid w:val="00D23102"/>
    <w:rsid w:val="00D231DD"/>
    <w:rsid w:val="00D2342C"/>
    <w:rsid w:val="00D234FF"/>
    <w:rsid w:val="00D23688"/>
    <w:rsid w:val="00D23718"/>
    <w:rsid w:val="00D238A1"/>
    <w:rsid w:val="00D23A84"/>
    <w:rsid w:val="00D23C41"/>
    <w:rsid w:val="00D23D21"/>
    <w:rsid w:val="00D23DC0"/>
    <w:rsid w:val="00D23F12"/>
    <w:rsid w:val="00D25668"/>
    <w:rsid w:val="00D25934"/>
    <w:rsid w:val="00D25978"/>
    <w:rsid w:val="00D25CED"/>
    <w:rsid w:val="00D25EBC"/>
    <w:rsid w:val="00D26228"/>
    <w:rsid w:val="00D26546"/>
    <w:rsid w:val="00D26667"/>
    <w:rsid w:val="00D27041"/>
    <w:rsid w:val="00D270D9"/>
    <w:rsid w:val="00D274E2"/>
    <w:rsid w:val="00D279F6"/>
    <w:rsid w:val="00D27BBB"/>
    <w:rsid w:val="00D27E1E"/>
    <w:rsid w:val="00D30046"/>
    <w:rsid w:val="00D302FF"/>
    <w:rsid w:val="00D30802"/>
    <w:rsid w:val="00D3082F"/>
    <w:rsid w:val="00D310B5"/>
    <w:rsid w:val="00D3154B"/>
    <w:rsid w:val="00D31832"/>
    <w:rsid w:val="00D31AF5"/>
    <w:rsid w:val="00D325A7"/>
    <w:rsid w:val="00D3282D"/>
    <w:rsid w:val="00D328FC"/>
    <w:rsid w:val="00D32A8C"/>
    <w:rsid w:val="00D32CB6"/>
    <w:rsid w:val="00D3353C"/>
    <w:rsid w:val="00D33617"/>
    <w:rsid w:val="00D34894"/>
    <w:rsid w:val="00D3492B"/>
    <w:rsid w:val="00D3501B"/>
    <w:rsid w:val="00D3503A"/>
    <w:rsid w:val="00D35055"/>
    <w:rsid w:val="00D355B0"/>
    <w:rsid w:val="00D35882"/>
    <w:rsid w:val="00D35D9B"/>
    <w:rsid w:val="00D3683C"/>
    <w:rsid w:val="00D36850"/>
    <w:rsid w:val="00D36A3E"/>
    <w:rsid w:val="00D36B52"/>
    <w:rsid w:val="00D370AE"/>
    <w:rsid w:val="00D3719B"/>
    <w:rsid w:val="00D379D8"/>
    <w:rsid w:val="00D37F00"/>
    <w:rsid w:val="00D37F28"/>
    <w:rsid w:val="00D40149"/>
    <w:rsid w:val="00D4095C"/>
    <w:rsid w:val="00D409EB"/>
    <w:rsid w:val="00D417E5"/>
    <w:rsid w:val="00D4180A"/>
    <w:rsid w:val="00D41B5A"/>
    <w:rsid w:val="00D427F4"/>
    <w:rsid w:val="00D42D36"/>
    <w:rsid w:val="00D435B2"/>
    <w:rsid w:val="00D43941"/>
    <w:rsid w:val="00D43D01"/>
    <w:rsid w:val="00D43DB3"/>
    <w:rsid w:val="00D43E7F"/>
    <w:rsid w:val="00D4413D"/>
    <w:rsid w:val="00D444F4"/>
    <w:rsid w:val="00D44DBE"/>
    <w:rsid w:val="00D456BB"/>
    <w:rsid w:val="00D45C7B"/>
    <w:rsid w:val="00D46A9E"/>
    <w:rsid w:val="00D471FF"/>
    <w:rsid w:val="00D4723D"/>
    <w:rsid w:val="00D472FB"/>
    <w:rsid w:val="00D47F39"/>
    <w:rsid w:val="00D50115"/>
    <w:rsid w:val="00D507DC"/>
    <w:rsid w:val="00D50883"/>
    <w:rsid w:val="00D51A4A"/>
    <w:rsid w:val="00D52A1A"/>
    <w:rsid w:val="00D52BBD"/>
    <w:rsid w:val="00D53120"/>
    <w:rsid w:val="00D53327"/>
    <w:rsid w:val="00D533FB"/>
    <w:rsid w:val="00D5366A"/>
    <w:rsid w:val="00D541A7"/>
    <w:rsid w:val="00D5478F"/>
    <w:rsid w:val="00D54FC8"/>
    <w:rsid w:val="00D55352"/>
    <w:rsid w:val="00D55590"/>
    <w:rsid w:val="00D5561F"/>
    <w:rsid w:val="00D55646"/>
    <w:rsid w:val="00D55DDD"/>
    <w:rsid w:val="00D563BA"/>
    <w:rsid w:val="00D56B76"/>
    <w:rsid w:val="00D57107"/>
    <w:rsid w:val="00D57ACC"/>
    <w:rsid w:val="00D604D4"/>
    <w:rsid w:val="00D60678"/>
    <w:rsid w:val="00D607BD"/>
    <w:rsid w:val="00D61435"/>
    <w:rsid w:val="00D6176B"/>
    <w:rsid w:val="00D61E2F"/>
    <w:rsid w:val="00D61EB6"/>
    <w:rsid w:val="00D61EBB"/>
    <w:rsid w:val="00D62200"/>
    <w:rsid w:val="00D628F7"/>
    <w:rsid w:val="00D62959"/>
    <w:rsid w:val="00D62C1A"/>
    <w:rsid w:val="00D63036"/>
    <w:rsid w:val="00D6320A"/>
    <w:rsid w:val="00D632AD"/>
    <w:rsid w:val="00D63A79"/>
    <w:rsid w:val="00D63C4A"/>
    <w:rsid w:val="00D640A0"/>
    <w:rsid w:val="00D64114"/>
    <w:rsid w:val="00D64259"/>
    <w:rsid w:val="00D643C3"/>
    <w:rsid w:val="00D645FB"/>
    <w:rsid w:val="00D6525C"/>
    <w:rsid w:val="00D65362"/>
    <w:rsid w:val="00D65748"/>
    <w:rsid w:val="00D65772"/>
    <w:rsid w:val="00D65F24"/>
    <w:rsid w:val="00D65FD6"/>
    <w:rsid w:val="00D66043"/>
    <w:rsid w:val="00D66B64"/>
    <w:rsid w:val="00D66F1A"/>
    <w:rsid w:val="00D67106"/>
    <w:rsid w:val="00D67810"/>
    <w:rsid w:val="00D6784E"/>
    <w:rsid w:val="00D67B0D"/>
    <w:rsid w:val="00D67B8A"/>
    <w:rsid w:val="00D702E4"/>
    <w:rsid w:val="00D7051A"/>
    <w:rsid w:val="00D70A44"/>
    <w:rsid w:val="00D70BE5"/>
    <w:rsid w:val="00D70DCE"/>
    <w:rsid w:val="00D70E5A"/>
    <w:rsid w:val="00D70F7F"/>
    <w:rsid w:val="00D71BFA"/>
    <w:rsid w:val="00D72568"/>
    <w:rsid w:val="00D726A0"/>
    <w:rsid w:val="00D73512"/>
    <w:rsid w:val="00D74282"/>
    <w:rsid w:val="00D74A1C"/>
    <w:rsid w:val="00D7541D"/>
    <w:rsid w:val="00D75801"/>
    <w:rsid w:val="00D75899"/>
    <w:rsid w:val="00D75A8F"/>
    <w:rsid w:val="00D75DBA"/>
    <w:rsid w:val="00D76182"/>
    <w:rsid w:val="00D7693E"/>
    <w:rsid w:val="00D76C66"/>
    <w:rsid w:val="00D76FD9"/>
    <w:rsid w:val="00D77039"/>
    <w:rsid w:val="00D7758B"/>
    <w:rsid w:val="00D77A97"/>
    <w:rsid w:val="00D77CAA"/>
    <w:rsid w:val="00D80089"/>
    <w:rsid w:val="00D8053D"/>
    <w:rsid w:val="00D805CF"/>
    <w:rsid w:val="00D813CF"/>
    <w:rsid w:val="00D816C5"/>
    <w:rsid w:val="00D81810"/>
    <w:rsid w:val="00D82008"/>
    <w:rsid w:val="00D82203"/>
    <w:rsid w:val="00D823F6"/>
    <w:rsid w:val="00D823F9"/>
    <w:rsid w:val="00D82FFC"/>
    <w:rsid w:val="00D83480"/>
    <w:rsid w:val="00D838A6"/>
    <w:rsid w:val="00D84BDB"/>
    <w:rsid w:val="00D84D01"/>
    <w:rsid w:val="00D855FA"/>
    <w:rsid w:val="00D8572E"/>
    <w:rsid w:val="00D85EE0"/>
    <w:rsid w:val="00D8627B"/>
    <w:rsid w:val="00D86658"/>
    <w:rsid w:val="00D868C4"/>
    <w:rsid w:val="00D86AB2"/>
    <w:rsid w:val="00D86B7D"/>
    <w:rsid w:val="00D87532"/>
    <w:rsid w:val="00D877DC"/>
    <w:rsid w:val="00D87ECF"/>
    <w:rsid w:val="00D90994"/>
    <w:rsid w:val="00D90DDA"/>
    <w:rsid w:val="00D91D7D"/>
    <w:rsid w:val="00D9329E"/>
    <w:rsid w:val="00D934D1"/>
    <w:rsid w:val="00D93633"/>
    <w:rsid w:val="00D938DF"/>
    <w:rsid w:val="00D943B6"/>
    <w:rsid w:val="00D94984"/>
    <w:rsid w:val="00D94D60"/>
    <w:rsid w:val="00D94E63"/>
    <w:rsid w:val="00D9513B"/>
    <w:rsid w:val="00D954C7"/>
    <w:rsid w:val="00D95979"/>
    <w:rsid w:val="00D96999"/>
    <w:rsid w:val="00D96C57"/>
    <w:rsid w:val="00D973DB"/>
    <w:rsid w:val="00D977FA"/>
    <w:rsid w:val="00D97B48"/>
    <w:rsid w:val="00DA043A"/>
    <w:rsid w:val="00DA0E51"/>
    <w:rsid w:val="00DA16CA"/>
    <w:rsid w:val="00DA1CD7"/>
    <w:rsid w:val="00DA208D"/>
    <w:rsid w:val="00DA249D"/>
    <w:rsid w:val="00DA27A1"/>
    <w:rsid w:val="00DA2CE0"/>
    <w:rsid w:val="00DA2FF4"/>
    <w:rsid w:val="00DA31AD"/>
    <w:rsid w:val="00DA3F4A"/>
    <w:rsid w:val="00DA3F53"/>
    <w:rsid w:val="00DA4387"/>
    <w:rsid w:val="00DA45B4"/>
    <w:rsid w:val="00DA4E1F"/>
    <w:rsid w:val="00DA5D64"/>
    <w:rsid w:val="00DA5F23"/>
    <w:rsid w:val="00DA7287"/>
    <w:rsid w:val="00DA72CE"/>
    <w:rsid w:val="00DA74BF"/>
    <w:rsid w:val="00DA7D15"/>
    <w:rsid w:val="00DA7E03"/>
    <w:rsid w:val="00DB0825"/>
    <w:rsid w:val="00DB084A"/>
    <w:rsid w:val="00DB08AB"/>
    <w:rsid w:val="00DB0ABA"/>
    <w:rsid w:val="00DB1159"/>
    <w:rsid w:val="00DB122D"/>
    <w:rsid w:val="00DB1AC0"/>
    <w:rsid w:val="00DB1C99"/>
    <w:rsid w:val="00DB2EA2"/>
    <w:rsid w:val="00DB3086"/>
    <w:rsid w:val="00DB3CA7"/>
    <w:rsid w:val="00DB436D"/>
    <w:rsid w:val="00DB4936"/>
    <w:rsid w:val="00DB4A69"/>
    <w:rsid w:val="00DB6227"/>
    <w:rsid w:val="00DB62E9"/>
    <w:rsid w:val="00DB6495"/>
    <w:rsid w:val="00DB6BE6"/>
    <w:rsid w:val="00DB72E8"/>
    <w:rsid w:val="00DB7AF3"/>
    <w:rsid w:val="00DC08ED"/>
    <w:rsid w:val="00DC09D9"/>
    <w:rsid w:val="00DC0F86"/>
    <w:rsid w:val="00DC1E31"/>
    <w:rsid w:val="00DC230D"/>
    <w:rsid w:val="00DC2675"/>
    <w:rsid w:val="00DC2A80"/>
    <w:rsid w:val="00DC3203"/>
    <w:rsid w:val="00DC3A5A"/>
    <w:rsid w:val="00DC49B1"/>
    <w:rsid w:val="00DC568E"/>
    <w:rsid w:val="00DC5B98"/>
    <w:rsid w:val="00DC5EDB"/>
    <w:rsid w:val="00DC6B85"/>
    <w:rsid w:val="00DC71C1"/>
    <w:rsid w:val="00DC7ABA"/>
    <w:rsid w:val="00DD009C"/>
    <w:rsid w:val="00DD01D3"/>
    <w:rsid w:val="00DD024E"/>
    <w:rsid w:val="00DD04A8"/>
    <w:rsid w:val="00DD093D"/>
    <w:rsid w:val="00DD0E18"/>
    <w:rsid w:val="00DD0F03"/>
    <w:rsid w:val="00DD115B"/>
    <w:rsid w:val="00DD135A"/>
    <w:rsid w:val="00DD1C44"/>
    <w:rsid w:val="00DD22E4"/>
    <w:rsid w:val="00DD2488"/>
    <w:rsid w:val="00DD2C8F"/>
    <w:rsid w:val="00DD2E9E"/>
    <w:rsid w:val="00DD3034"/>
    <w:rsid w:val="00DD31B1"/>
    <w:rsid w:val="00DD3451"/>
    <w:rsid w:val="00DD428A"/>
    <w:rsid w:val="00DD4295"/>
    <w:rsid w:val="00DD4595"/>
    <w:rsid w:val="00DD4E16"/>
    <w:rsid w:val="00DD4F25"/>
    <w:rsid w:val="00DD5222"/>
    <w:rsid w:val="00DD589C"/>
    <w:rsid w:val="00DD60E1"/>
    <w:rsid w:val="00DD6183"/>
    <w:rsid w:val="00DD624B"/>
    <w:rsid w:val="00DD68E7"/>
    <w:rsid w:val="00DD73DB"/>
    <w:rsid w:val="00DE0131"/>
    <w:rsid w:val="00DE051D"/>
    <w:rsid w:val="00DE098B"/>
    <w:rsid w:val="00DE0B1F"/>
    <w:rsid w:val="00DE0C0D"/>
    <w:rsid w:val="00DE0E60"/>
    <w:rsid w:val="00DE1623"/>
    <w:rsid w:val="00DE2AC1"/>
    <w:rsid w:val="00DE385B"/>
    <w:rsid w:val="00DE3B35"/>
    <w:rsid w:val="00DE449A"/>
    <w:rsid w:val="00DE4AB7"/>
    <w:rsid w:val="00DE506F"/>
    <w:rsid w:val="00DE5300"/>
    <w:rsid w:val="00DE54B2"/>
    <w:rsid w:val="00DE5663"/>
    <w:rsid w:val="00DE56BF"/>
    <w:rsid w:val="00DE57B3"/>
    <w:rsid w:val="00DE5C39"/>
    <w:rsid w:val="00DE61B7"/>
    <w:rsid w:val="00DE6360"/>
    <w:rsid w:val="00DE666A"/>
    <w:rsid w:val="00DE7787"/>
    <w:rsid w:val="00DE7BB4"/>
    <w:rsid w:val="00DED15D"/>
    <w:rsid w:val="00DF0197"/>
    <w:rsid w:val="00DF034E"/>
    <w:rsid w:val="00DF0B62"/>
    <w:rsid w:val="00DF10C8"/>
    <w:rsid w:val="00DF1326"/>
    <w:rsid w:val="00DF1355"/>
    <w:rsid w:val="00DF16FE"/>
    <w:rsid w:val="00DF1A15"/>
    <w:rsid w:val="00DF1CC0"/>
    <w:rsid w:val="00DF1F69"/>
    <w:rsid w:val="00DF2541"/>
    <w:rsid w:val="00DF254C"/>
    <w:rsid w:val="00DF27C7"/>
    <w:rsid w:val="00DF2BE7"/>
    <w:rsid w:val="00DF2CB0"/>
    <w:rsid w:val="00DF2CF8"/>
    <w:rsid w:val="00DF3281"/>
    <w:rsid w:val="00DF390C"/>
    <w:rsid w:val="00DF3E86"/>
    <w:rsid w:val="00DF4394"/>
    <w:rsid w:val="00DF4881"/>
    <w:rsid w:val="00DF48B4"/>
    <w:rsid w:val="00DF4ED6"/>
    <w:rsid w:val="00DF5186"/>
    <w:rsid w:val="00DF5318"/>
    <w:rsid w:val="00DF5761"/>
    <w:rsid w:val="00DF58EB"/>
    <w:rsid w:val="00DF5A74"/>
    <w:rsid w:val="00DF5BC8"/>
    <w:rsid w:val="00DF6038"/>
    <w:rsid w:val="00DF60CF"/>
    <w:rsid w:val="00DF6D32"/>
    <w:rsid w:val="00DF70FF"/>
    <w:rsid w:val="00DF7823"/>
    <w:rsid w:val="00DF784E"/>
    <w:rsid w:val="00DF7C52"/>
    <w:rsid w:val="00DF7E7D"/>
    <w:rsid w:val="00E00661"/>
    <w:rsid w:val="00E00989"/>
    <w:rsid w:val="00E00AAB"/>
    <w:rsid w:val="00E00EE1"/>
    <w:rsid w:val="00E00FAD"/>
    <w:rsid w:val="00E01041"/>
    <w:rsid w:val="00E01259"/>
    <w:rsid w:val="00E01801"/>
    <w:rsid w:val="00E01EAF"/>
    <w:rsid w:val="00E02595"/>
    <w:rsid w:val="00E0290E"/>
    <w:rsid w:val="00E02CEB"/>
    <w:rsid w:val="00E0356C"/>
    <w:rsid w:val="00E037AC"/>
    <w:rsid w:val="00E049DF"/>
    <w:rsid w:val="00E04BE0"/>
    <w:rsid w:val="00E0580F"/>
    <w:rsid w:val="00E05EFB"/>
    <w:rsid w:val="00E060E6"/>
    <w:rsid w:val="00E063C5"/>
    <w:rsid w:val="00E0720F"/>
    <w:rsid w:val="00E0725F"/>
    <w:rsid w:val="00E07B5F"/>
    <w:rsid w:val="00E07CCD"/>
    <w:rsid w:val="00E07F23"/>
    <w:rsid w:val="00E102AC"/>
    <w:rsid w:val="00E1038E"/>
    <w:rsid w:val="00E106BE"/>
    <w:rsid w:val="00E10788"/>
    <w:rsid w:val="00E10BD4"/>
    <w:rsid w:val="00E11168"/>
    <w:rsid w:val="00E11DA6"/>
    <w:rsid w:val="00E1222F"/>
    <w:rsid w:val="00E1231C"/>
    <w:rsid w:val="00E12DB7"/>
    <w:rsid w:val="00E12EA9"/>
    <w:rsid w:val="00E1330C"/>
    <w:rsid w:val="00E1370C"/>
    <w:rsid w:val="00E13726"/>
    <w:rsid w:val="00E13DA1"/>
    <w:rsid w:val="00E13E46"/>
    <w:rsid w:val="00E14367"/>
    <w:rsid w:val="00E150C5"/>
    <w:rsid w:val="00E150D4"/>
    <w:rsid w:val="00E151E1"/>
    <w:rsid w:val="00E15A1E"/>
    <w:rsid w:val="00E15FDF"/>
    <w:rsid w:val="00E162D8"/>
    <w:rsid w:val="00E163E2"/>
    <w:rsid w:val="00E16B29"/>
    <w:rsid w:val="00E16D32"/>
    <w:rsid w:val="00E170E2"/>
    <w:rsid w:val="00E17202"/>
    <w:rsid w:val="00E1722F"/>
    <w:rsid w:val="00E17395"/>
    <w:rsid w:val="00E17894"/>
    <w:rsid w:val="00E2028C"/>
    <w:rsid w:val="00E20F09"/>
    <w:rsid w:val="00E210E5"/>
    <w:rsid w:val="00E2197C"/>
    <w:rsid w:val="00E21B62"/>
    <w:rsid w:val="00E21EFC"/>
    <w:rsid w:val="00E2298B"/>
    <w:rsid w:val="00E235D8"/>
    <w:rsid w:val="00E235F2"/>
    <w:rsid w:val="00E23705"/>
    <w:rsid w:val="00E23959"/>
    <w:rsid w:val="00E23CEA"/>
    <w:rsid w:val="00E23F33"/>
    <w:rsid w:val="00E24A89"/>
    <w:rsid w:val="00E24B16"/>
    <w:rsid w:val="00E24B4A"/>
    <w:rsid w:val="00E24B92"/>
    <w:rsid w:val="00E24F40"/>
    <w:rsid w:val="00E25251"/>
    <w:rsid w:val="00E2593B"/>
    <w:rsid w:val="00E25D5F"/>
    <w:rsid w:val="00E26488"/>
    <w:rsid w:val="00E26822"/>
    <w:rsid w:val="00E26C55"/>
    <w:rsid w:val="00E272B0"/>
    <w:rsid w:val="00E27428"/>
    <w:rsid w:val="00E2792E"/>
    <w:rsid w:val="00E27934"/>
    <w:rsid w:val="00E27C96"/>
    <w:rsid w:val="00E3003F"/>
    <w:rsid w:val="00E30083"/>
    <w:rsid w:val="00E300BB"/>
    <w:rsid w:val="00E30ED8"/>
    <w:rsid w:val="00E313C8"/>
    <w:rsid w:val="00E31FD3"/>
    <w:rsid w:val="00E323C4"/>
    <w:rsid w:val="00E32511"/>
    <w:rsid w:val="00E331B0"/>
    <w:rsid w:val="00E335C3"/>
    <w:rsid w:val="00E33FCF"/>
    <w:rsid w:val="00E34578"/>
    <w:rsid w:val="00E346DD"/>
    <w:rsid w:val="00E34DCE"/>
    <w:rsid w:val="00E352D6"/>
    <w:rsid w:val="00E35496"/>
    <w:rsid w:val="00E361E0"/>
    <w:rsid w:val="00E365C2"/>
    <w:rsid w:val="00E36AD5"/>
    <w:rsid w:val="00E36ECF"/>
    <w:rsid w:val="00E36F5F"/>
    <w:rsid w:val="00E371A3"/>
    <w:rsid w:val="00E37A2B"/>
    <w:rsid w:val="00E37ADA"/>
    <w:rsid w:val="00E40C3A"/>
    <w:rsid w:val="00E40FA5"/>
    <w:rsid w:val="00E41480"/>
    <w:rsid w:val="00E4316C"/>
    <w:rsid w:val="00E431B8"/>
    <w:rsid w:val="00E4385B"/>
    <w:rsid w:val="00E43863"/>
    <w:rsid w:val="00E43B2A"/>
    <w:rsid w:val="00E43C9B"/>
    <w:rsid w:val="00E44728"/>
    <w:rsid w:val="00E447AB"/>
    <w:rsid w:val="00E44872"/>
    <w:rsid w:val="00E44FD1"/>
    <w:rsid w:val="00E45429"/>
    <w:rsid w:val="00E458E8"/>
    <w:rsid w:val="00E45A1C"/>
    <w:rsid w:val="00E46362"/>
    <w:rsid w:val="00E46F75"/>
    <w:rsid w:val="00E47053"/>
    <w:rsid w:val="00E47116"/>
    <w:rsid w:val="00E478B5"/>
    <w:rsid w:val="00E47B16"/>
    <w:rsid w:val="00E47BE2"/>
    <w:rsid w:val="00E4DD59"/>
    <w:rsid w:val="00E4F2CC"/>
    <w:rsid w:val="00E5008D"/>
    <w:rsid w:val="00E51267"/>
    <w:rsid w:val="00E51298"/>
    <w:rsid w:val="00E516B7"/>
    <w:rsid w:val="00E518E5"/>
    <w:rsid w:val="00E52704"/>
    <w:rsid w:val="00E52ACD"/>
    <w:rsid w:val="00E52EDE"/>
    <w:rsid w:val="00E531C9"/>
    <w:rsid w:val="00E54224"/>
    <w:rsid w:val="00E5422E"/>
    <w:rsid w:val="00E54239"/>
    <w:rsid w:val="00E5475B"/>
    <w:rsid w:val="00E54B38"/>
    <w:rsid w:val="00E54C11"/>
    <w:rsid w:val="00E54FD1"/>
    <w:rsid w:val="00E55437"/>
    <w:rsid w:val="00E55559"/>
    <w:rsid w:val="00E55EDE"/>
    <w:rsid w:val="00E56103"/>
    <w:rsid w:val="00E56556"/>
    <w:rsid w:val="00E56B34"/>
    <w:rsid w:val="00E56D8C"/>
    <w:rsid w:val="00E56DBA"/>
    <w:rsid w:val="00E5701F"/>
    <w:rsid w:val="00E573C3"/>
    <w:rsid w:val="00E57519"/>
    <w:rsid w:val="00E57B07"/>
    <w:rsid w:val="00E57B11"/>
    <w:rsid w:val="00E57DC6"/>
    <w:rsid w:val="00E600EF"/>
    <w:rsid w:val="00E60167"/>
    <w:rsid w:val="00E60413"/>
    <w:rsid w:val="00E608D6"/>
    <w:rsid w:val="00E6130F"/>
    <w:rsid w:val="00E61683"/>
    <w:rsid w:val="00E617FF"/>
    <w:rsid w:val="00E629C0"/>
    <w:rsid w:val="00E63235"/>
    <w:rsid w:val="00E632EE"/>
    <w:rsid w:val="00E63524"/>
    <w:rsid w:val="00E63630"/>
    <w:rsid w:val="00E63A8D"/>
    <w:rsid w:val="00E63F6E"/>
    <w:rsid w:val="00E642FB"/>
    <w:rsid w:val="00E64595"/>
    <w:rsid w:val="00E647A1"/>
    <w:rsid w:val="00E650FE"/>
    <w:rsid w:val="00E6602F"/>
    <w:rsid w:val="00E666DB"/>
    <w:rsid w:val="00E6672E"/>
    <w:rsid w:val="00E66746"/>
    <w:rsid w:val="00E670A8"/>
    <w:rsid w:val="00E670C2"/>
    <w:rsid w:val="00E674CF"/>
    <w:rsid w:val="00E67555"/>
    <w:rsid w:val="00E6761E"/>
    <w:rsid w:val="00E67676"/>
    <w:rsid w:val="00E67A42"/>
    <w:rsid w:val="00E67C5B"/>
    <w:rsid w:val="00E67E32"/>
    <w:rsid w:val="00E67EB2"/>
    <w:rsid w:val="00E70060"/>
    <w:rsid w:val="00E70172"/>
    <w:rsid w:val="00E707C3"/>
    <w:rsid w:val="00E70A0B"/>
    <w:rsid w:val="00E70A29"/>
    <w:rsid w:val="00E70CBC"/>
    <w:rsid w:val="00E71310"/>
    <w:rsid w:val="00E71EA9"/>
    <w:rsid w:val="00E72645"/>
    <w:rsid w:val="00E726F6"/>
    <w:rsid w:val="00E727A4"/>
    <w:rsid w:val="00E728D7"/>
    <w:rsid w:val="00E72C49"/>
    <w:rsid w:val="00E7319B"/>
    <w:rsid w:val="00E73203"/>
    <w:rsid w:val="00E7321D"/>
    <w:rsid w:val="00E73271"/>
    <w:rsid w:val="00E73F91"/>
    <w:rsid w:val="00E74122"/>
    <w:rsid w:val="00E741D5"/>
    <w:rsid w:val="00E744D8"/>
    <w:rsid w:val="00E75110"/>
    <w:rsid w:val="00E75DC0"/>
    <w:rsid w:val="00E7634C"/>
    <w:rsid w:val="00E76B91"/>
    <w:rsid w:val="00E76F1E"/>
    <w:rsid w:val="00E77289"/>
    <w:rsid w:val="00E77B6B"/>
    <w:rsid w:val="00E77C65"/>
    <w:rsid w:val="00E806D5"/>
    <w:rsid w:val="00E809CF"/>
    <w:rsid w:val="00E81007"/>
    <w:rsid w:val="00E81090"/>
    <w:rsid w:val="00E813C1"/>
    <w:rsid w:val="00E81755"/>
    <w:rsid w:val="00E8185C"/>
    <w:rsid w:val="00E82171"/>
    <w:rsid w:val="00E825FE"/>
    <w:rsid w:val="00E82DBB"/>
    <w:rsid w:val="00E82E88"/>
    <w:rsid w:val="00E82FD0"/>
    <w:rsid w:val="00E8303A"/>
    <w:rsid w:val="00E83305"/>
    <w:rsid w:val="00E83CF4"/>
    <w:rsid w:val="00E83D56"/>
    <w:rsid w:val="00E8484E"/>
    <w:rsid w:val="00E84AC7"/>
    <w:rsid w:val="00E850A6"/>
    <w:rsid w:val="00E85FA2"/>
    <w:rsid w:val="00E86072"/>
    <w:rsid w:val="00E861C0"/>
    <w:rsid w:val="00E86FE3"/>
    <w:rsid w:val="00E87026"/>
    <w:rsid w:val="00E87BE3"/>
    <w:rsid w:val="00E87BFB"/>
    <w:rsid w:val="00E87FA8"/>
    <w:rsid w:val="00E909E6"/>
    <w:rsid w:val="00E909E8"/>
    <w:rsid w:val="00E90AA3"/>
    <w:rsid w:val="00E90AB5"/>
    <w:rsid w:val="00E9126D"/>
    <w:rsid w:val="00E912E6"/>
    <w:rsid w:val="00E913A2"/>
    <w:rsid w:val="00E91D8B"/>
    <w:rsid w:val="00E925FF"/>
    <w:rsid w:val="00E92C6B"/>
    <w:rsid w:val="00E935E0"/>
    <w:rsid w:val="00E936D5"/>
    <w:rsid w:val="00E93DC7"/>
    <w:rsid w:val="00E94626"/>
    <w:rsid w:val="00E94828"/>
    <w:rsid w:val="00E9482C"/>
    <w:rsid w:val="00E948DD"/>
    <w:rsid w:val="00E950BC"/>
    <w:rsid w:val="00E95671"/>
    <w:rsid w:val="00E96116"/>
    <w:rsid w:val="00E961BF"/>
    <w:rsid w:val="00E96290"/>
    <w:rsid w:val="00E96541"/>
    <w:rsid w:val="00E9660F"/>
    <w:rsid w:val="00E96D4A"/>
    <w:rsid w:val="00E970E9"/>
    <w:rsid w:val="00E97A5E"/>
    <w:rsid w:val="00E97F60"/>
    <w:rsid w:val="00EA047C"/>
    <w:rsid w:val="00EA0524"/>
    <w:rsid w:val="00EA05CA"/>
    <w:rsid w:val="00EA06A3"/>
    <w:rsid w:val="00EA130E"/>
    <w:rsid w:val="00EA14D6"/>
    <w:rsid w:val="00EA23CD"/>
    <w:rsid w:val="00EA280D"/>
    <w:rsid w:val="00EA29C5"/>
    <w:rsid w:val="00EA2F35"/>
    <w:rsid w:val="00EA348C"/>
    <w:rsid w:val="00EA3F6B"/>
    <w:rsid w:val="00EA403D"/>
    <w:rsid w:val="00EA438A"/>
    <w:rsid w:val="00EA4639"/>
    <w:rsid w:val="00EA4668"/>
    <w:rsid w:val="00EA47B6"/>
    <w:rsid w:val="00EA4AB1"/>
    <w:rsid w:val="00EA4CAE"/>
    <w:rsid w:val="00EA56B2"/>
    <w:rsid w:val="00EA5995"/>
    <w:rsid w:val="00EA5DF0"/>
    <w:rsid w:val="00EA5E5D"/>
    <w:rsid w:val="00EA63F7"/>
    <w:rsid w:val="00EA6525"/>
    <w:rsid w:val="00EA65B3"/>
    <w:rsid w:val="00EA6C89"/>
    <w:rsid w:val="00EA7627"/>
    <w:rsid w:val="00EA764B"/>
    <w:rsid w:val="00EA769F"/>
    <w:rsid w:val="00EA76C8"/>
    <w:rsid w:val="00EB0158"/>
    <w:rsid w:val="00EB0BFD"/>
    <w:rsid w:val="00EB0CCA"/>
    <w:rsid w:val="00EB0D74"/>
    <w:rsid w:val="00EB0ED4"/>
    <w:rsid w:val="00EB1977"/>
    <w:rsid w:val="00EB19C1"/>
    <w:rsid w:val="00EB1A02"/>
    <w:rsid w:val="00EB2123"/>
    <w:rsid w:val="00EB2194"/>
    <w:rsid w:val="00EB22C8"/>
    <w:rsid w:val="00EB2580"/>
    <w:rsid w:val="00EB28D2"/>
    <w:rsid w:val="00EB2A08"/>
    <w:rsid w:val="00EB2CD2"/>
    <w:rsid w:val="00EB3515"/>
    <w:rsid w:val="00EB371C"/>
    <w:rsid w:val="00EB38E0"/>
    <w:rsid w:val="00EB3ACD"/>
    <w:rsid w:val="00EB47CA"/>
    <w:rsid w:val="00EB48F0"/>
    <w:rsid w:val="00EB4D75"/>
    <w:rsid w:val="00EB5085"/>
    <w:rsid w:val="00EB5E94"/>
    <w:rsid w:val="00EB606F"/>
    <w:rsid w:val="00EB641A"/>
    <w:rsid w:val="00EB6633"/>
    <w:rsid w:val="00EB695C"/>
    <w:rsid w:val="00EB6C0F"/>
    <w:rsid w:val="00EB6DDE"/>
    <w:rsid w:val="00EB7721"/>
    <w:rsid w:val="00EB7934"/>
    <w:rsid w:val="00EB7F13"/>
    <w:rsid w:val="00EC00CD"/>
    <w:rsid w:val="00EC05F9"/>
    <w:rsid w:val="00EC09C7"/>
    <w:rsid w:val="00EC177B"/>
    <w:rsid w:val="00EC19C1"/>
    <w:rsid w:val="00EC1A20"/>
    <w:rsid w:val="00EC1BBF"/>
    <w:rsid w:val="00EC204F"/>
    <w:rsid w:val="00EC2338"/>
    <w:rsid w:val="00EC2770"/>
    <w:rsid w:val="00EC27F5"/>
    <w:rsid w:val="00EC2947"/>
    <w:rsid w:val="00EC2A46"/>
    <w:rsid w:val="00EC2B6A"/>
    <w:rsid w:val="00EC3156"/>
    <w:rsid w:val="00EC3D77"/>
    <w:rsid w:val="00EC4322"/>
    <w:rsid w:val="00EC4A7C"/>
    <w:rsid w:val="00EC5FCE"/>
    <w:rsid w:val="00EC64E7"/>
    <w:rsid w:val="00EC68AE"/>
    <w:rsid w:val="00EC745A"/>
    <w:rsid w:val="00EC7C0A"/>
    <w:rsid w:val="00EC7CBE"/>
    <w:rsid w:val="00ED02D1"/>
    <w:rsid w:val="00ED0310"/>
    <w:rsid w:val="00ED0407"/>
    <w:rsid w:val="00ED0D84"/>
    <w:rsid w:val="00ED1371"/>
    <w:rsid w:val="00ED13A6"/>
    <w:rsid w:val="00ED14B1"/>
    <w:rsid w:val="00ED155F"/>
    <w:rsid w:val="00ED1930"/>
    <w:rsid w:val="00ED1CB6"/>
    <w:rsid w:val="00ED2E78"/>
    <w:rsid w:val="00ED32E0"/>
    <w:rsid w:val="00ED399D"/>
    <w:rsid w:val="00ED3EDD"/>
    <w:rsid w:val="00ED3F7A"/>
    <w:rsid w:val="00ED41CE"/>
    <w:rsid w:val="00ED425B"/>
    <w:rsid w:val="00ED45CB"/>
    <w:rsid w:val="00ED468F"/>
    <w:rsid w:val="00ED48D2"/>
    <w:rsid w:val="00ED4947"/>
    <w:rsid w:val="00ED4F66"/>
    <w:rsid w:val="00ED594C"/>
    <w:rsid w:val="00ED6251"/>
    <w:rsid w:val="00ED6815"/>
    <w:rsid w:val="00ED6BA8"/>
    <w:rsid w:val="00ED6F81"/>
    <w:rsid w:val="00ED7247"/>
    <w:rsid w:val="00ED790E"/>
    <w:rsid w:val="00ED79F4"/>
    <w:rsid w:val="00ED7A84"/>
    <w:rsid w:val="00ED7FAE"/>
    <w:rsid w:val="00EE035B"/>
    <w:rsid w:val="00EE0BDE"/>
    <w:rsid w:val="00EE0F8E"/>
    <w:rsid w:val="00EE13F1"/>
    <w:rsid w:val="00EE2474"/>
    <w:rsid w:val="00EE26EE"/>
    <w:rsid w:val="00EE271D"/>
    <w:rsid w:val="00EE2CF6"/>
    <w:rsid w:val="00EE3006"/>
    <w:rsid w:val="00EE33FC"/>
    <w:rsid w:val="00EE3510"/>
    <w:rsid w:val="00EE35EE"/>
    <w:rsid w:val="00EE3606"/>
    <w:rsid w:val="00EE3E45"/>
    <w:rsid w:val="00EE4160"/>
    <w:rsid w:val="00EE446A"/>
    <w:rsid w:val="00EE4984"/>
    <w:rsid w:val="00EE4D62"/>
    <w:rsid w:val="00EE4DDA"/>
    <w:rsid w:val="00EE51EA"/>
    <w:rsid w:val="00EE545F"/>
    <w:rsid w:val="00EE5708"/>
    <w:rsid w:val="00EE5AD2"/>
    <w:rsid w:val="00EE5B9A"/>
    <w:rsid w:val="00EE6A33"/>
    <w:rsid w:val="00EE6F39"/>
    <w:rsid w:val="00EE7223"/>
    <w:rsid w:val="00EE72E0"/>
    <w:rsid w:val="00EE75C4"/>
    <w:rsid w:val="00EE75D2"/>
    <w:rsid w:val="00EE8414"/>
    <w:rsid w:val="00EF0B2F"/>
    <w:rsid w:val="00EF12F6"/>
    <w:rsid w:val="00EF15A0"/>
    <w:rsid w:val="00EF15A8"/>
    <w:rsid w:val="00EF20AC"/>
    <w:rsid w:val="00EF20D4"/>
    <w:rsid w:val="00EF2B6B"/>
    <w:rsid w:val="00EF2DE7"/>
    <w:rsid w:val="00EF3042"/>
    <w:rsid w:val="00EF394B"/>
    <w:rsid w:val="00EF419D"/>
    <w:rsid w:val="00EF464D"/>
    <w:rsid w:val="00EF4732"/>
    <w:rsid w:val="00EF4995"/>
    <w:rsid w:val="00EF4B19"/>
    <w:rsid w:val="00EF506B"/>
    <w:rsid w:val="00EF54C6"/>
    <w:rsid w:val="00EF647D"/>
    <w:rsid w:val="00EF6A82"/>
    <w:rsid w:val="00EF7048"/>
    <w:rsid w:val="00EF7294"/>
    <w:rsid w:val="00EF73BA"/>
    <w:rsid w:val="00EF73BC"/>
    <w:rsid w:val="00EF74B0"/>
    <w:rsid w:val="00EF7900"/>
    <w:rsid w:val="00F000DD"/>
    <w:rsid w:val="00F0034D"/>
    <w:rsid w:val="00F00557"/>
    <w:rsid w:val="00F00856"/>
    <w:rsid w:val="00F0094A"/>
    <w:rsid w:val="00F00986"/>
    <w:rsid w:val="00F00C08"/>
    <w:rsid w:val="00F012D4"/>
    <w:rsid w:val="00F01786"/>
    <w:rsid w:val="00F018FE"/>
    <w:rsid w:val="00F03339"/>
    <w:rsid w:val="00F033EA"/>
    <w:rsid w:val="00F06197"/>
    <w:rsid w:val="00F064AF"/>
    <w:rsid w:val="00F065EC"/>
    <w:rsid w:val="00F06D46"/>
    <w:rsid w:val="00F06FB5"/>
    <w:rsid w:val="00F075F6"/>
    <w:rsid w:val="00F07FF2"/>
    <w:rsid w:val="00F10A04"/>
    <w:rsid w:val="00F10F18"/>
    <w:rsid w:val="00F110FF"/>
    <w:rsid w:val="00F11736"/>
    <w:rsid w:val="00F1181D"/>
    <w:rsid w:val="00F12503"/>
    <w:rsid w:val="00F12716"/>
    <w:rsid w:val="00F12E48"/>
    <w:rsid w:val="00F12F8F"/>
    <w:rsid w:val="00F13049"/>
    <w:rsid w:val="00F13DB9"/>
    <w:rsid w:val="00F140E5"/>
    <w:rsid w:val="00F1436A"/>
    <w:rsid w:val="00F15350"/>
    <w:rsid w:val="00F15838"/>
    <w:rsid w:val="00F15B8E"/>
    <w:rsid w:val="00F15D74"/>
    <w:rsid w:val="00F15D8A"/>
    <w:rsid w:val="00F15EF5"/>
    <w:rsid w:val="00F15F60"/>
    <w:rsid w:val="00F1625D"/>
    <w:rsid w:val="00F162DA"/>
    <w:rsid w:val="00F16888"/>
    <w:rsid w:val="00F16B87"/>
    <w:rsid w:val="00F17DDD"/>
    <w:rsid w:val="00F204A9"/>
    <w:rsid w:val="00F206A4"/>
    <w:rsid w:val="00F20EDE"/>
    <w:rsid w:val="00F21544"/>
    <w:rsid w:val="00F21946"/>
    <w:rsid w:val="00F21D18"/>
    <w:rsid w:val="00F21F99"/>
    <w:rsid w:val="00F22241"/>
    <w:rsid w:val="00F22604"/>
    <w:rsid w:val="00F22759"/>
    <w:rsid w:val="00F229A8"/>
    <w:rsid w:val="00F234B2"/>
    <w:rsid w:val="00F237B0"/>
    <w:rsid w:val="00F2383C"/>
    <w:rsid w:val="00F23982"/>
    <w:rsid w:val="00F23C20"/>
    <w:rsid w:val="00F23F65"/>
    <w:rsid w:val="00F24305"/>
    <w:rsid w:val="00F24404"/>
    <w:rsid w:val="00F245A5"/>
    <w:rsid w:val="00F245DF"/>
    <w:rsid w:val="00F24B3D"/>
    <w:rsid w:val="00F24F41"/>
    <w:rsid w:val="00F25B6C"/>
    <w:rsid w:val="00F25CE5"/>
    <w:rsid w:val="00F2648F"/>
    <w:rsid w:val="00F26A4C"/>
    <w:rsid w:val="00F26C47"/>
    <w:rsid w:val="00F27510"/>
    <w:rsid w:val="00F27658"/>
    <w:rsid w:val="00F27A0E"/>
    <w:rsid w:val="00F27B9B"/>
    <w:rsid w:val="00F27CC7"/>
    <w:rsid w:val="00F27FDE"/>
    <w:rsid w:val="00F301AC"/>
    <w:rsid w:val="00F30376"/>
    <w:rsid w:val="00F304E9"/>
    <w:rsid w:val="00F30EC2"/>
    <w:rsid w:val="00F310F5"/>
    <w:rsid w:val="00F312B4"/>
    <w:rsid w:val="00F315EB"/>
    <w:rsid w:val="00F3173B"/>
    <w:rsid w:val="00F319FE"/>
    <w:rsid w:val="00F32BD4"/>
    <w:rsid w:val="00F32D56"/>
    <w:rsid w:val="00F3357F"/>
    <w:rsid w:val="00F339F8"/>
    <w:rsid w:val="00F33F0D"/>
    <w:rsid w:val="00F34480"/>
    <w:rsid w:val="00F3480C"/>
    <w:rsid w:val="00F3485D"/>
    <w:rsid w:val="00F34AB7"/>
    <w:rsid w:val="00F34F69"/>
    <w:rsid w:val="00F35230"/>
    <w:rsid w:val="00F353F8"/>
    <w:rsid w:val="00F3540A"/>
    <w:rsid w:val="00F3574C"/>
    <w:rsid w:val="00F3601A"/>
    <w:rsid w:val="00F3621A"/>
    <w:rsid w:val="00F36A74"/>
    <w:rsid w:val="00F371D9"/>
    <w:rsid w:val="00F37876"/>
    <w:rsid w:val="00F37D86"/>
    <w:rsid w:val="00F4029A"/>
    <w:rsid w:val="00F40538"/>
    <w:rsid w:val="00F40542"/>
    <w:rsid w:val="00F40BCA"/>
    <w:rsid w:val="00F4105A"/>
    <w:rsid w:val="00F41682"/>
    <w:rsid w:val="00F4175B"/>
    <w:rsid w:val="00F41986"/>
    <w:rsid w:val="00F42EC2"/>
    <w:rsid w:val="00F43567"/>
    <w:rsid w:val="00F438AA"/>
    <w:rsid w:val="00F4391A"/>
    <w:rsid w:val="00F439C6"/>
    <w:rsid w:val="00F443BC"/>
    <w:rsid w:val="00F44A02"/>
    <w:rsid w:val="00F45774"/>
    <w:rsid w:val="00F45B25"/>
    <w:rsid w:val="00F45EDF"/>
    <w:rsid w:val="00F4613F"/>
    <w:rsid w:val="00F4624A"/>
    <w:rsid w:val="00F46C8B"/>
    <w:rsid w:val="00F46CF5"/>
    <w:rsid w:val="00F5036F"/>
    <w:rsid w:val="00F50497"/>
    <w:rsid w:val="00F50943"/>
    <w:rsid w:val="00F50A10"/>
    <w:rsid w:val="00F50BD1"/>
    <w:rsid w:val="00F50C61"/>
    <w:rsid w:val="00F50F68"/>
    <w:rsid w:val="00F5116C"/>
    <w:rsid w:val="00F512B3"/>
    <w:rsid w:val="00F512F6"/>
    <w:rsid w:val="00F5175B"/>
    <w:rsid w:val="00F5187B"/>
    <w:rsid w:val="00F51A54"/>
    <w:rsid w:val="00F51CCC"/>
    <w:rsid w:val="00F5209D"/>
    <w:rsid w:val="00F521D3"/>
    <w:rsid w:val="00F52214"/>
    <w:rsid w:val="00F52DC2"/>
    <w:rsid w:val="00F53305"/>
    <w:rsid w:val="00F53D54"/>
    <w:rsid w:val="00F53F22"/>
    <w:rsid w:val="00F53F6B"/>
    <w:rsid w:val="00F5473F"/>
    <w:rsid w:val="00F54D21"/>
    <w:rsid w:val="00F54EB8"/>
    <w:rsid w:val="00F553D7"/>
    <w:rsid w:val="00F566AE"/>
    <w:rsid w:val="00F577DC"/>
    <w:rsid w:val="00F57A02"/>
    <w:rsid w:val="00F57A23"/>
    <w:rsid w:val="00F6003F"/>
    <w:rsid w:val="00F60287"/>
    <w:rsid w:val="00F6107E"/>
    <w:rsid w:val="00F61143"/>
    <w:rsid w:val="00F62365"/>
    <w:rsid w:val="00F6274E"/>
    <w:rsid w:val="00F64010"/>
    <w:rsid w:val="00F645CE"/>
    <w:rsid w:val="00F6484E"/>
    <w:rsid w:val="00F64E24"/>
    <w:rsid w:val="00F64E3F"/>
    <w:rsid w:val="00F64F9A"/>
    <w:rsid w:val="00F6562C"/>
    <w:rsid w:val="00F65975"/>
    <w:rsid w:val="00F65B6B"/>
    <w:rsid w:val="00F65DDE"/>
    <w:rsid w:val="00F66486"/>
    <w:rsid w:val="00F667D9"/>
    <w:rsid w:val="00F66DCE"/>
    <w:rsid w:val="00F67058"/>
    <w:rsid w:val="00F67140"/>
    <w:rsid w:val="00F70989"/>
    <w:rsid w:val="00F70F74"/>
    <w:rsid w:val="00F7115C"/>
    <w:rsid w:val="00F71448"/>
    <w:rsid w:val="00F71468"/>
    <w:rsid w:val="00F7192F"/>
    <w:rsid w:val="00F71B28"/>
    <w:rsid w:val="00F724EE"/>
    <w:rsid w:val="00F72E50"/>
    <w:rsid w:val="00F72FA0"/>
    <w:rsid w:val="00F73A29"/>
    <w:rsid w:val="00F73E0B"/>
    <w:rsid w:val="00F74FC7"/>
    <w:rsid w:val="00F75202"/>
    <w:rsid w:val="00F754B0"/>
    <w:rsid w:val="00F754D1"/>
    <w:rsid w:val="00F754D6"/>
    <w:rsid w:val="00F75C6F"/>
    <w:rsid w:val="00F76602"/>
    <w:rsid w:val="00F800B6"/>
    <w:rsid w:val="00F801E8"/>
    <w:rsid w:val="00F8028C"/>
    <w:rsid w:val="00F80607"/>
    <w:rsid w:val="00F80A17"/>
    <w:rsid w:val="00F80D82"/>
    <w:rsid w:val="00F80E36"/>
    <w:rsid w:val="00F8172A"/>
    <w:rsid w:val="00F81869"/>
    <w:rsid w:val="00F81E28"/>
    <w:rsid w:val="00F825C1"/>
    <w:rsid w:val="00F828E8"/>
    <w:rsid w:val="00F83204"/>
    <w:rsid w:val="00F832D5"/>
    <w:rsid w:val="00F8338F"/>
    <w:rsid w:val="00F834F6"/>
    <w:rsid w:val="00F83A59"/>
    <w:rsid w:val="00F83AC9"/>
    <w:rsid w:val="00F83EF2"/>
    <w:rsid w:val="00F84033"/>
    <w:rsid w:val="00F84ACD"/>
    <w:rsid w:val="00F85016"/>
    <w:rsid w:val="00F851D0"/>
    <w:rsid w:val="00F85441"/>
    <w:rsid w:val="00F857FA"/>
    <w:rsid w:val="00F85C71"/>
    <w:rsid w:val="00F85FC1"/>
    <w:rsid w:val="00F868FF"/>
    <w:rsid w:val="00F86C64"/>
    <w:rsid w:val="00F86FEA"/>
    <w:rsid w:val="00F870FE"/>
    <w:rsid w:val="00F87B00"/>
    <w:rsid w:val="00F87E56"/>
    <w:rsid w:val="00F9057E"/>
    <w:rsid w:val="00F906E0"/>
    <w:rsid w:val="00F91586"/>
    <w:rsid w:val="00F91C7C"/>
    <w:rsid w:val="00F91CAE"/>
    <w:rsid w:val="00F91D00"/>
    <w:rsid w:val="00F91FEC"/>
    <w:rsid w:val="00F92111"/>
    <w:rsid w:val="00F9219D"/>
    <w:rsid w:val="00F92863"/>
    <w:rsid w:val="00F92E50"/>
    <w:rsid w:val="00F931CD"/>
    <w:rsid w:val="00F93428"/>
    <w:rsid w:val="00F93FB1"/>
    <w:rsid w:val="00F94493"/>
    <w:rsid w:val="00F947A0"/>
    <w:rsid w:val="00F94ABD"/>
    <w:rsid w:val="00F952CE"/>
    <w:rsid w:val="00F95F15"/>
    <w:rsid w:val="00F960FE"/>
    <w:rsid w:val="00F96258"/>
    <w:rsid w:val="00F96A66"/>
    <w:rsid w:val="00F96EDB"/>
    <w:rsid w:val="00F973B6"/>
    <w:rsid w:val="00F9784D"/>
    <w:rsid w:val="00FA0426"/>
    <w:rsid w:val="00FA0E0D"/>
    <w:rsid w:val="00FA17A9"/>
    <w:rsid w:val="00FA186B"/>
    <w:rsid w:val="00FA1FAC"/>
    <w:rsid w:val="00FA28BB"/>
    <w:rsid w:val="00FA30AC"/>
    <w:rsid w:val="00FA3BCD"/>
    <w:rsid w:val="00FA48BC"/>
    <w:rsid w:val="00FA4984"/>
    <w:rsid w:val="00FA4C14"/>
    <w:rsid w:val="00FA4F61"/>
    <w:rsid w:val="00FA4FBE"/>
    <w:rsid w:val="00FA51DE"/>
    <w:rsid w:val="00FA5ECA"/>
    <w:rsid w:val="00FA63E3"/>
    <w:rsid w:val="00FA641E"/>
    <w:rsid w:val="00FA6522"/>
    <w:rsid w:val="00FA68C2"/>
    <w:rsid w:val="00FA6C68"/>
    <w:rsid w:val="00FA703B"/>
    <w:rsid w:val="00FA7060"/>
    <w:rsid w:val="00FA747D"/>
    <w:rsid w:val="00FA7A72"/>
    <w:rsid w:val="00FA7FD2"/>
    <w:rsid w:val="00FB0862"/>
    <w:rsid w:val="00FB0DCA"/>
    <w:rsid w:val="00FB1669"/>
    <w:rsid w:val="00FB1787"/>
    <w:rsid w:val="00FB1F61"/>
    <w:rsid w:val="00FB22E1"/>
    <w:rsid w:val="00FB2347"/>
    <w:rsid w:val="00FB296A"/>
    <w:rsid w:val="00FB2C3A"/>
    <w:rsid w:val="00FB3009"/>
    <w:rsid w:val="00FB3105"/>
    <w:rsid w:val="00FB3273"/>
    <w:rsid w:val="00FB3701"/>
    <w:rsid w:val="00FB39A8"/>
    <w:rsid w:val="00FB3C7C"/>
    <w:rsid w:val="00FB4284"/>
    <w:rsid w:val="00FB434B"/>
    <w:rsid w:val="00FB44F9"/>
    <w:rsid w:val="00FB4563"/>
    <w:rsid w:val="00FB46D4"/>
    <w:rsid w:val="00FB48BD"/>
    <w:rsid w:val="00FB4AE9"/>
    <w:rsid w:val="00FB5196"/>
    <w:rsid w:val="00FB542A"/>
    <w:rsid w:val="00FB547B"/>
    <w:rsid w:val="00FB5B4C"/>
    <w:rsid w:val="00FB5D57"/>
    <w:rsid w:val="00FB603B"/>
    <w:rsid w:val="00FB6846"/>
    <w:rsid w:val="00FB69BE"/>
    <w:rsid w:val="00FB6AC3"/>
    <w:rsid w:val="00FB6C7C"/>
    <w:rsid w:val="00FB6EB3"/>
    <w:rsid w:val="00FB6F94"/>
    <w:rsid w:val="00FB7723"/>
    <w:rsid w:val="00FB7A5A"/>
    <w:rsid w:val="00FB7D7D"/>
    <w:rsid w:val="00FB7DA2"/>
    <w:rsid w:val="00FC035C"/>
    <w:rsid w:val="00FC0CA3"/>
    <w:rsid w:val="00FC0D65"/>
    <w:rsid w:val="00FC0F2F"/>
    <w:rsid w:val="00FC1218"/>
    <w:rsid w:val="00FC134C"/>
    <w:rsid w:val="00FC15E2"/>
    <w:rsid w:val="00FC1B79"/>
    <w:rsid w:val="00FC1C0E"/>
    <w:rsid w:val="00FC36F6"/>
    <w:rsid w:val="00FC3B52"/>
    <w:rsid w:val="00FC4089"/>
    <w:rsid w:val="00FC4689"/>
    <w:rsid w:val="00FC4C25"/>
    <w:rsid w:val="00FC4EBB"/>
    <w:rsid w:val="00FC4FA1"/>
    <w:rsid w:val="00FC5259"/>
    <w:rsid w:val="00FC5702"/>
    <w:rsid w:val="00FC5CB1"/>
    <w:rsid w:val="00FC5D2A"/>
    <w:rsid w:val="00FC66EA"/>
    <w:rsid w:val="00FC684A"/>
    <w:rsid w:val="00FC6C57"/>
    <w:rsid w:val="00FC6E01"/>
    <w:rsid w:val="00FC7212"/>
    <w:rsid w:val="00FD047F"/>
    <w:rsid w:val="00FD061D"/>
    <w:rsid w:val="00FD0EA5"/>
    <w:rsid w:val="00FD11BA"/>
    <w:rsid w:val="00FD179A"/>
    <w:rsid w:val="00FD1A00"/>
    <w:rsid w:val="00FD269B"/>
    <w:rsid w:val="00FD26CC"/>
    <w:rsid w:val="00FD378B"/>
    <w:rsid w:val="00FD38FA"/>
    <w:rsid w:val="00FD3911"/>
    <w:rsid w:val="00FD3963"/>
    <w:rsid w:val="00FD3A87"/>
    <w:rsid w:val="00FD3BAA"/>
    <w:rsid w:val="00FD3ED8"/>
    <w:rsid w:val="00FD40CB"/>
    <w:rsid w:val="00FD51C1"/>
    <w:rsid w:val="00FD6065"/>
    <w:rsid w:val="00FD6239"/>
    <w:rsid w:val="00FD6D37"/>
    <w:rsid w:val="00FD73A0"/>
    <w:rsid w:val="00FD79BB"/>
    <w:rsid w:val="00FD7C30"/>
    <w:rsid w:val="00FE162D"/>
    <w:rsid w:val="00FE1716"/>
    <w:rsid w:val="00FE1888"/>
    <w:rsid w:val="00FE2245"/>
    <w:rsid w:val="00FE2575"/>
    <w:rsid w:val="00FE271D"/>
    <w:rsid w:val="00FE28F5"/>
    <w:rsid w:val="00FE3652"/>
    <w:rsid w:val="00FE3708"/>
    <w:rsid w:val="00FE3AC3"/>
    <w:rsid w:val="00FE4617"/>
    <w:rsid w:val="00FE47B3"/>
    <w:rsid w:val="00FE499F"/>
    <w:rsid w:val="00FE4A13"/>
    <w:rsid w:val="00FE4D60"/>
    <w:rsid w:val="00FE5441"/>
    <w:rsid w:val="00FE5825"/>
    <w:rsid w:val="00FE5A60"/>
    <w:rsid w:val="00FE6730"/>
    <w:rsid w:val="00FE6B4F"/>
    <w:rsid w:val="00FE7FE1"/>
    <w:rsid w:val="00FF0720"/>
    <w:rsid w:val="00FF1183"/>
    <w:rsid w:val="00FF1771"/>
    <w:rsid w:val="00FF20DF"/>
    <w:rsid w:val="00FF2372"/>
    <w:rsid w:val="00FF2521"/>
    <w:rsid w:val="00FF2C08"/>
    <w:rsid w:val="00FF2C93"/>
    <w:rsid w:val="00FF3159"/>
    <w:rsid w:val="00FF37FF"/>
    <w:rsid w:val="00FF4137"/>
    <w:rsid w:val="00FF41E1"/>
    <w:rsid w:val="00FF487E"/>
    <w:rsid w:val="00FF499C"/>
    <w:rsid w:val="00FF5210"/>
    <w:rsid w:val="00FF53AB"/>
    <w:rsid w:val="00FF55EB"/>
    <w:rsid w:val="00FF57A9"/>
    <w:rsid w:val="00FF6087"/>
    <w:rsid w:val="00FF635A"/>
    <w:rsid w:val="00FF71C8"/>
    <w:rsid w:val="010D27F6"/>
    <w:rsid w:val="0156439A"/>
    <w:rsid w:val="01A7BB50"/>
    <w:rsid w:val="01B1AA4B"/>
    <w:rsid w:val="01B395DB"/>
    <w:rsid w:val="01B9F06B"/>
    <w:rsid w:val="02018D57"/>
    <w:rsid w:val="0207F4C7"/>
    <w:rsid w:val="02450C1C"/>
    <w:rsid w:val="027FD5C2"/>
    <w:rsid w:val="02821ADD"/>
    <w:rsid w:val="028271F7"/>
    <w:rsid w:val="02A5594D"/>
    <w:rsid w:val="02A7B576"/>
    <w:rsid w:val="02D3E744"/>
    <w:rsid w:val="03278B06"/>
    <w:rsid w:val="033775F9"/>
    <w:rsid w:val="03547933"/>
    <w:rsid w:val="036DDB44"/>
    <w:rsid w:val="03AFE450"/>
    <w:rsid w:val="03FFEB8D"/>
    <w:rsid w:val="0409A008"/>
    <w:rsid w:val="041B4880"/>
    <w:rsid w:val="0426F9EA"/>
    <w:rsid w:val="04384098"/>
    <w:rsid w:val="045C4CA2"/>
    <w:rsid w:val="04B7B0F5"/>
    <w:rsid w:val="04D0A95B"/>
    <w:rsid w:val="04DD468F"/>
    <w:rsid w:val="051D1D54"/>
    <w:rsid w:val="05290403"/>
    <w:rsid w:val="052A1B26"/>
    <w:rsid w:val="05387135"/>
    <w:rsid w:val="059B7AD6"/>
    <w:rsid w:val="05DEABAF"/>
    <w:rsid w:val="05F480B7"/>
    <w:rsid w:val="0600D313"/>
    <w:rsid w:val="060EE952"/>
    <w:rsid w:val="061829A1"/>
    <w:rsid w:val="061C1932"/>
    <w:rsid w:val="062B42D0"/>
    <w:rsid w:val="0631CEC6"/>
    <w:rsid w:val="0633A93A"/>
    <w:rsid w:val="065B010A"/>
    <w:rsid w:val="06649A53"/>
    <w:rsid w:val="067AC67A"/>
    <w:rsid w:val="068C9F3C"/>
    <w:rsid w:val="06A16F83"/>
    <w:rsid w:val="06A71E4A"/>
    <w:rsid w:val="06ADD620"/>
    <w:rsid w:val="06DA90AD"/>
    <w:rsid w:val="0710E8DF"/>
    <w:rsid w:val="07177735"/>
    <w:rsid w:val="071E3229"/>
    <w:rsid w:val="0723903D"/>
    <w:rsid w:val="07239146"/>
    <w:rsid w:val="0759837D"/>
    <w:rsid w:val="0780CE46"/>
    <w:rsid w:val="0781EFC9"/>
    <w:rsid w:val="0790D7C4"/>
    <w:rsid w:val="079C6310"/>
    <w:rsid w:val="07A2AE95"/>
    <w:rsid w:val="07E06AC4"/>
    <w:rsid w:val="07EAA211"/>
    <w:rsid w:val="080A6F23"/>
    <w:rsid w:val="0815FC9D"/>
    <w:rsid w:val="0844D04A"/>
    <w:rsid w:val="086F298F"/>
    <w:rsid w:val="087069E0"/>
    <w:rsid w:val="089EE32F"/>
    <w:rsid w:val="08B57DBF"/>
    <w:rsid w:val="08BC0981"/>
    <w:rsid w:val="08DD0FDA"/>
    <w:rsid w:val="08FDE5D9"/>
    <w:rsid w:val="090E0E80"/>
    <w:rsid w:val="092453A3"/>
    <w:rsid w:val="09508CD8"/>
    <w:rsid w:val="09542F23"/>
    <w:rsid w:val="095C9C2B"/>
    <w:rsid w:val="09897427"/>
    <w:rsid w:val="098E034F"/>
    <w:rsid w:val="0996FF9C"/>
    <w:rsid w:val="09BD4510"/>
    <w:rsid w:val="09E0AAA2"/>
    <w:rsid w:val="09E20E68"/>
    <w:rsid w:val="09F9C771"/>
    <w:rsid w:val="0A00F1B1"/>
    <w:rsid w:val="0A089647"/>
    <w:rsid w:val="0A19B926"/>
    <w:rsid w:val="0A4233B1"/>
    <w:rsid w:val="0A6F1828"/>
    <w:rsid w:val="0A7313A5"/>
    <w:rsid w:val="0A7AD2B2"/>
    <w:rsid w:val="0A7F42FF"/>
    <w:rsid w:val="0AA11C32"/>
    <w:rsid w:val="0ADE8D1E"/>
    <w:rsid w:val="0AE994B8"/>
    <w:rsid w:val="0AECC20A"/>
    <w:rsid w:val="0AFAD0A9"/>
    <w:rsid w:val="0B022AA7"/>
    <w:rsid w:val="0B119B9C"/>
    <w:rsid w:val="0B171EDE"/>
    <w:rsid w:val="0B5CF49E"/>
    <w:rsid w:val="0B732332"/>
    <w:rsid w:val="0B915604"/>
    <w:rsid w:val="0BB72DE5"/>
    <w:rsid w:val="0BBF07FA"/>
    <w:rsid w:val="0BCD9905"/>
    <w:rsid w:val="0BE8064E"/>
    <w:rsid w:val="0BF3C2CD"/>
    <w:rsid w:val="0C028C0A"/>
    <w:rsid w:val="0C39C801"/>
    <w:rsid w:val="0C5093D9"/>
    <w:rsid w:val="0C7B7A30"/>
    <w:rsid w:val="0CA96367"/>
    <w:rsid w:val="0CCD67BF"/>
    <w:rsid w:val="0CD9320F"/>
    <w:rsid w:val="0CDB2BD7"/>
    <w:rsid w:val="0D317790"/>
    <w:rsid w:val="0D4401CC"/>
    <w:rsid w:val="0D6DE0D3"/>
    <w:rsid w:val="0D6E7A63"/>
    <w:rsid w:val="0D79B4D1"/>
    <w:rsid w:val="0DAC4E1F"/>
    <w:rsid w:val="0DAD997A"/>
    <w:rsid w:val="0DC5E96E"/>
    <w:rsid w:val="0E4D108C"/>
    <w:rsid w:val="0E4D3D94"/>
    <w:rsid w:val="0E4F1025"/>
    <w:rsid w:val="0E85B2AA"/>
    <w:rsid w:val="0EA0934B"/>
    <w:rsid w:val="0EBC49A7"/>
    <w:rsid w:val="0ECD5F72"/>
    <w:rsid w:val="0ED8DCA7"/>
    <w:rsid w:val="0F34EC88"/>
    <w:rsid w:val="0F35A0D9"/>
    <w:rsid w:val="0F4D61E7"/>
    <w:rsid w:val="0F7062ED"/>
    <w:rsid w:val="0F7E4A9D"/>
    <w:rsid w:val="0FC0AD27"/>
    <w:rsid w:val="0FD91DF0"/>
    <w:rsid w:val="0FDA6F80"/>
    <w:rsid w:val="0FF260CE"/>
    <w:rsid w:val="0FF295DA"/>
    <w:rsid w:val="0FF733FE"/>
    <w:rsid w:val="0FFDD348"/>
    <w:rsid w:val="1006CAA7"/>
    <w:rsid w:val="101F3A85"/>
    <w:rsid w:val="10285E26"/>
    <w:rsid w:val="1029B96F"/>
    <w:rsid w:val="1033A290"/>
    <w:rsid w:val="10524D55"/>
    <w:rsid w:val="10532C58"/>
    <w:rsid w:val="1062C604"/>
    <w:rsid w:val="106BB89D"/>
    <w:rsid w:val="10948F95"/>
    <w:rsid w:val="10A17451"/>
    <w:rsid w:val="10B4805B"/>
    <w:rsid w:val="10C31E05"/>
    <w:rsid w:val="10D308D5"/>
    <w:rsid w:val="10D5B2A1"/>
    <w:rsid w:val="10DF110C"/>
    <w:rsid w:val="10E0DACF"/>
    <w:rsid w:val="10F9FFDB"/>
    <w:rsid w:val="1128F6AD"/>
    <w:rsid w:val="1144E06B"/>
    <w:rsid w:val="117656A9"/>
    <w:rsid w:val="118133F9"/>
    <w:rsid w:val="1189D7B8"/>
    <w:rsid w:val="11AA227D"/>
    <w:rsid w:val="11CD131A"/>
    <w:rsid w:val="11CE2D68"/>
    <w:rsid w:val="11CF75BC"/>
    <w:rsid w:val="11F83AEF"/>
    <w:rsid w:val="11FF7833"/>
    <w:rsid w:val="1208BC1C"/>
    <w:rsid w:val="1210D574"/>
    <w:rsid w:val="122F2ADA"/>
    <w:rsid w:val="124FE6EE"/>
    <w:rsid w:val="12713E83"/>
    <w:rsid w:val="1272B392"/>
    <w:rsid w:val="1280C1EF"/>
    <w:rsid w:val="1340AAF6"/>
    <w:rsid w:val="1387574B"/>
    <w:rsid w:val="138F59EE"/>
    <w:rsid w:val="139C8F66"/>
    <w:rsid w:val="13AB17F1"/>
    <w:rsid w:val="13BC5D07"/>
    <w:rsid w:val="140D50DA"/>
    <w:rsid w:val="1417B933"/>
    <w:rsid w:val="142EE77E"/>
    <w:rsid w:val="148BC981"/>
    <w:rsid w:val="148EE03C"/>
    <w:rsid w:val="1490ECAA"/>
    <w:rsid w:val="14AC242B"/>
    <w:rsid w:val="14AC49CC"/>
    <w:rsid w:val="14B3D1F3"/>
    <w:rsid w:val="14CCB34F"/>
    <w:rsid w:val="14EB2197"/>
    <w:rsid w:val="150C9DE3"/>
    <w:rsid w:val="151FC914"/>
    <w:rsid w:val="154C83B7"/>
    <w:rsid w:val="15745963"/>
    <w:rsid w:val="15765373"/>
    <w:rsid w:val="157FAEE8"/>
    <w:rsid w:val="1588E855"/>
    <w:rsid w:val="159E68D3"/>
    <w:rsid w:val="15A6F20C"/>
    <w:rsid w:val="15C7288A"/>
    <w:rsid w:val="160135B0"/>
    <w:rsid w:val="1604BC29"/>
    <w:rsid w:val="1665436C"/>
    <w:rsid w:val="16733193"/>
    <w:rsid w:val="16A58DF4"/>
    <w:rsid w:val="16B5347B"/>
    <w:rsid w:val="16B9705B"/>
    <w:rsid w:val="16CF282C"/>
    <w:rsid w:val="16D3B628"/>
    <w:rsid w:val="16D461EA"/>
    <w:rsid w:val="171D7E8E"/>
    <w:rsid w:val="171D8855"/>
    <w:rsid w:val="17703722"/>
    <w:rsid w:val="1773AEE0"/>
    <w:rsid w:val="177F0F0A"/>
    <w:rsid w:val="178008DE"/>
    <w:rsid w:val="17ACFFA0"/>
    <w:rsid w:val="17EECE54"/>
    <w:rsid w:val="1805FB83"/>
    <w:rsid w:val="1874B559"/>
    <w:rsid w:val="18A27B12"/>
    <w:rsid w:val="18ABA88B"/>
    <w:rsid w:val="18AE5E84"/>
    <w:rsid w:val="18BC4A4F"/>
    <w:rsid w:val="18BEA491"/>
    <w:rsid w:val="18D9EFDE"/>
    <w:rsid w:val="19311FAA"/>
    <w:rsid w:val="196B0A22"/>
    <w:rsid w:val="196C8AA9"/>
    <w:rsid w:val="198C512F"/>
    <w:rsid w:val="19949637"/>
    <w:rsid w:val="19AB996E"/>
    <w:rsid w:val="19C43A9C"/>
    <w:rsid w:val="19CC140C"/>
    <w:rsid w:val="19E8A4AE"/>
    <w:rsid w:val="19E8FFF9"/>
    <w:rsid w:val="1A118F2A"/>
    <w:rsid w:val="1A14DBBE"/>
    <w:rsid w:val="1A218F6E"/>
    <w:rsid w:val="1A564099"/>
    <w:rsid w:val="1A7BE4ED"/>
    <w:rsid w:val="1A864603"/>
    <w:rsid w:val="1AA524AF"/>
    <w:rsid w:val="1AC9DBE3"/>
    <w:rsid w:val="1AD50DDA"/>
    <w:rsid w:val="1ADFF8DE"/>
    <w:rsid w:val="1AFA312A"/>
    <w:rsid w:val="1B04A95D"/>
    <w:rsid w:val="1B17788F"/>
    <w:rsid w:val="1B22356E"/>
    <w:rsid w:val="1B31150E"/>
    <w:rsid w:val="1B56AF0D"/>
    <w:rsid w:val="1B5D4EE0"/>
    <w:rsid w:val="1B5FDD98"/>
    <w:rsid w:val="1B614C26"/>
    <w:rsid w:val="1B6B8568"/>
    <w:rsid w:val="1B848822"/>
    <w:rsid w:val="1B8D68BB"/>
    <w:rsid w:val="1B8F6CC5"/>
    <w:rsid w:val="1B92B94C"/>
    <w:rsid w:val="1B9C7ACA"/>
    <w:rsid w:val="1BC7546B"/>
    <w:rsid w:val="1BDC8EC1"/>
    <w:rsid w:val="1BE117F4"/>
    <w:rsid w:val="1C4BFB64"/>
    <w:rsid w:val="1C59C0CB"/>
    <w:rsid w:val="1C657701"/>
    <w:rsid w:val="1C68C78F"/>
    <w:rsid w:val="1C7333E0"/>
    <w:rsid w:val="1C781DDE"/>
    <w:rsid w:val="1C88A042"/>
    <w:rsid w:val="1CA812CA"/>
    <w:rsid w:val="1D11DBFB"/>
    <w:rsid w:val="1D25DE32"/>
    <w:rsid w:val="1D595B07"/>
    <w:rsid w:val="1D64D9AB"/>
    <w:rsid w:val="1D663A74"/>
    <w:rsid w:val="1D7302C4"/>
    <w:rsid w:val="1D754507"/>
    <w:rsid w:val="1D97BD1C"/>
    <w:rsid w:val="1D9F374D"/>
    <w:rsid w:val="1DAC723C"/>
    <w:rsid w:val="1DB1697D"/>
    <w:rsid w:val="1DECFD39"/>
    <w:rsid w:val="1DEF29C7"/>
    <w:rsid w:val="1DF3B6A7"/>
    <w:rsid w:val="1E008189"/>
    <w:rsid w:val="1E023C9C"/>
    <w:rsid w:val="1E180561"/>
    <w:rsid w:val="1E33E8B1"/>
    <w:rsid w:val="1E34D49F"/>
    <w:rsid w:val="1E526659"/>
    <w:rsid w:val="1E88FB36"/>
    <w:rsid w:val="1EA1B935"/>
    <w:rsid w:val="1ECC03D1"/>
    <w:rsid w:val="1EE8F3AE"/>
    <w:rsid w:val="1EEEF383"/>
    <w:rsid w:val="1EFC7735"/>
    <w:rsid w:val="1F0A9D64"/>
    <w:rsid w:val="1F17CECC"/>
    <w:rsid w:val="1F21C3D9"/>
    <w:rsid w:val="1F263A78"/>
    <w:rsid w:val="1F7DADF2"/>
    <w:rsid w:val="1F91B78B"/>
    <w:rsid w:val="1FA27F0F"/>
    <w:rsid w:val="1FA27F1A"/>
    <w:rsid w:val="1FA2C38E"/>
    <w:rsid w:val="1FB4B57A"/>
    <w:rsid w:val="1FB78035"/>
    <w:rsid w:val="1FE9B81C"/>
    <w:rsid w:val="1FED2154"/>
    <w:rsid w:val="1FF69084"/>
    <w:rsid w:val="20061183"/>
    <w:rsid w:val="2045C4B0"/>
    <w:rsid w:val="205C3F48"/>
    <w:rsid w:val="205CA16A"/>
    <w:rsid w:val="206DBE87"/>
    <w:rsid w:val="2082B32E"/>
    <w:rsid w:val="208668A6"/>
    <w:rsid w:val="208B0E65"/>
    <w:rsid w:val="208F04A4"/>
    <w:rsid w:val="20B2B025"/>
    <w:rsid w:val="20E02AB3"/>
    <w:rsid w:val="2147F79D"/>
    <w:rsid w:val="216CE4C7"/>
    <w:rsid w:val="2173F477"/>
    <w:rsid w:val="21A2FF26"/>
    <w:rsid w:val="21A549BF"/>
    <w:rsid w:val="21BBD81C"/>
    <w:rsid w:val="21BDB4E5"/>
    <w:rsid w:val="21C8C73F"/>
    <w:rsid w:val="21F3A5C1"/>
    <w:rsid w:val="21F630F7"/>
    <w:rsid w:val="222CA925"/>
    <w:rsid w:val="2240B3FA"/>
    <w:rsid w:val="22832166"/>
    <w:rsid w:val="22901B7F"/>
    <w:rsid w:val="22BAD24E"/>
    <w:rsid w:val="22CAABFB"/>
    <w:rsid w:val="22D3CC24"/>
    <w:rsid w:val="22DD358D"/>
    <w:rsid w:val="22FFCD3C"/>
    <w:rsid w:val="231CA6B6"/>
    <w:rsid w:val="234245E4"/>
    <w:rsid w:val="235AA65C"/>
    <w:rsid w:val="235D3C37"/>
    <w:rsid w:val="23759B85"/>
    <w:rsid w:val="237AFBB2"/>
    <w:rsid w:val="237EE25D"/>
    <w:rsid w:val="23C2EF18"/>
    <w:rsid w:val="23C79C42"/>
    <w:rsid w:val="23DBAAF7"/>
    <w:rsid w:val="23EA5E78"/>
    <w:rsid w:val="242CD0FB"/>
    <w:rsid w:val="243A86D3"/>
    <w:rsid w:val="2458DA47"/>
    <w:rsid w:val="245AA87A"/>
    <w:rsid w:val="246ED017"/>
    <w:rsid w:val="2489CBB8"/>
    <w:rsid w:val="2497F6D4"/>
    <w:rsid w:val="24F9DBDD"/>
    <w:rsid w:val="250545D2"/>
    <w:rsid w:val="2508D112"/>
    <w:rsid w:val="2516370B"/>
    <w:rsid w:val="251A29D0"/>
    <w:rsid w:val="254E2298"/>
    <w:rsid w:val="25BB13E3"/>
    <w:rsid w:val="25CA53FC"/>
    <w:rsid w:val="25F1A7EC"/>
    <w:rsid w:val="2609F996"/>
    <w:rsid w:val="2612A2A4"/>
    <w:rsid w:val="261FDE4F"/>
    <w:rsid w:val="263A434E"/>
    <w:rsid w:val="263D25AE"/>
    <w:rsid w:val="26678392"/>
    <w:rsid w:val="2678B187"/>
    <w:rsid w:val="2694E5FE"/>
    <w:rsid w:val="26B3988F"/>
    <w:rsid w:val="26C78E92"/>
    <w:rsid w:val="26DD6ED2"/>
    <w:rsid w:val="26DEB0D0"/>
    <w:rsid w:val="26EC9B8E"/>
    <w:rsid w:val="26FA5A8D"/>
    <w:rsid w:val="26FDB90E"/>
    <w:rsid w:val="270E950A"/>
    <w:rsid w:val="27218829"/>
    <w:rsid w:val="272BD64D"/>
    <w:rsid w:val="27344986"/>
    <w:rsid w:val="273D8D90"/>
    <w:rsid w:val="276B0F90"/>
    <w:rsid w:val="278092BE"/>
    <w:rsid w:val="2787CACD"/>
    <w:rsid w:val="27FE9C54"/>
    <w:rsid w:val="280B1FE8"/>
    <w:rsid w:val="281978E5"/>
    <w:rsid w:val="282C97AE"/>
    <w:rsid w:val="2830E593"/>
    <w:rsid w:val="2834FCDD"/>
    <w:rsid w:val="2835B74F"/>
    <w:rsid w:val="284B0368"/>
    <w:rsid w:val="284D2263"/>
    <w:rsid w:val="28659267"/>
    <w:rsid w:val="28888A85"/>
    <w:rsid w:val="28CFF559"/>
    <w:rsid w:val="28DA3E60"/>
    <w:rsid w:val="28FE227D"/>
    <w:rsid w:val="29140732"/>
    <w:rsid w:val="29599564"/>
    <w:rsid w:val="296C7472"/>
    <w:rsid w:val="297D6AE8"/>
    <w:rsid w:val="29927596"/>
    <w:rsid w:val="29A05A17"/>
    <w:rsid w:val="29A8ADAD"/>
    <w:rsid w:val="29C277BE"/>
    <w:rsid w:val="29FEBDC9"/>
    <w:rsid w:val="2A1DEE32"/>
    <w:rsid w:val="2AA40A9D"/>
    <w:rsid w:val="2AD1FB37"/>
    <w:rsid w:val="2AD44969"/>
    <w:rsid w:val="2B10D77E"/>
    <w:rsid w:val="2B6041A3"/>
    <w:rsid w:val="2B6AB03D"/>
    <w:rsid w:val="2B883811"/>
    <w:rsid w:val="2B8C0DDE"/>
    <w:rsid w:val="2BAFA050"/>
    <w:rsid w:val="2BE07A69"/>
    <w:rsid w:val="2BFA0083"/>
    <w:rsid w:val="2C015095"/>
    <w:rsid w:val="2C17A9CD"/>
    <w:rsid w:val="2C4BFE0B"/>
    <w:rsid w:val="2C4FEEB1"/>
    <w:rsid w:val="2C5EEBF8"/>
    <w:rsid w:val="2C69C2F7"/>
    <w:rsid w:val="2C7D0AAF"/>
    <w:rsid w:val="2C86B015"/>
    <w:rsid w:val="2C9FFE6B"/>
    <w:rsid w:val="2CAF892C"/>
    <w:rsid w:val="2CDDC6EC"/>
    <w:rsid w:val="2D2FCBBB"/>
    <w:rsid w:val="2D30CDA0"/>
    <w:rsid w:val="2D3B1DDE"/>
    <w:rsid w:val="2D84FD8A"/>
    <w:rsid w:val="2D88485A"/>
    <w:rsid w:val="2DC15B33"/>
    <w:rsid w:val="2DE0DBAA"/>
    <w:rsid w:val="2DF50CF2"/>
    <w:rsid w:val="2E147C52"/>
    <w:rsid w:val="2E18D5B4"/>
    <w:rsid w:val="2E2DF517"/>
    <w:rsid w:val="2E351D4B"/>
    <w:rsid w:val="2E429B06"/>
    <w:rsid w:val="2E4F4507"/>
    <w:rsid w:val="2E76566D"/>
    <w:rsid w:val="2E7A7F00"/>
    <w:rsid w:val="2E8CC2EF"/>
    <w:rsid w:val="2EA35BCE"/>
    <w:rsid w:val="2ED34E8D"/>
    <w:rsid w:val="2EE2109C"/>
    <w:rsid w:val="2EE4458A"/>
    <w:rsid w:val="2EED0AEC"/>
    <w:rsid w:val="2F29A269"/>
    <w:rsid w:val="2F2A2F86"/>
    <w:rsid w:val="2F41F1F1"/>
    <w:rsid w:val="2F49BE41"/>
    <w:rsid w:val="2F534FE1"/>
    <w:rsid w:val="2F60C680"/>
    <w:rsid w:val="2F67A0DF"/>
    <w:rsid w:val="2F68A674"/>
    <w:rsid w:val="2F6B0CBF"/>
    <w:rsid w:val="2F7281D5"/>
    <w:rsid w:val="2F82E9A6"/>
    <w:rsid w:val="2F96AB00"/>
    <w:rsid w:val="2F983029"/>
    <w:rsid w:val="2FB16CD0"/>
    <w:rsid w:val="3003FBCE"/>
    <w:rsid w:val="30255633"/>
    <w:rsid w:val="302A8AB8"/>
    <w:rsid w:val="302BE71B"/>
    <w:rsid w:val="30401BEE"/>
    <w:rsid w:val="305CF700"/>
    <w:rsid w:val="3066169B"/>
    <w:rsid w:val="30A27A1B"/>
    <w:rsid w:val="30C3F611"/>
    <w:rsid w:val="30CAF498"/>
    <w:rsid w:val="30EF2962"/>
    <w:rsid w:val="3101CEC3"/>
    <w:rsid w:val="311F82A8"/>
    <w:rsid w:val="315A1B76"/>
    <w:rsid w:val="318212CF"/>
    <w:rsid w:val="3185ADE4"/>
    <w:rsid w:val="3185FAFC"/>
    <w:rsid w:val="31C88999"/>
    <w:rsid w:val="31D35C9C"/>
    <w:rsid w:val="31DDFCC2"/>
    <w:rsid w:val="31E22477"/>
    <w:rsid w:val="3218225C"/>
    <w:rsid w:val="325635F6"/>
    <w:rsid w:val="32606F1D"/>
    <w:rsid w:val="329C1C61"/>
    <w:rsid w:val="32A0D4CB"/>
    <w:rsid w:val="32AC2747"/>
    <w:rsid w:val="32B86DF9"/>
    <w:rsid w:val="32EAE163"/>
    <w:rsid w:val="330A5AEA"/>
    <w:rsid w:val="33183516"/>
    <w:rsid w:val="332B043D"/>
    <w:rsid w:val="333DBE88"/>
    <w:rsid w:val="3358CF6B"/>
    <w:rsid w:val="3368FACB"/>
    <w:rsid w:val="3385FA92"/>
    <w:rsid w:val="3387B479"/>
    <w:rsid w:val="33889AB8"/>
    <w:rsid w:val="33948953"/>
    <w:rsid w:val="33A84CAA"/>
    <w:rsid w:val="33B8495A"/>
    <w:rsid w:val="33B8DD0F"/>
    <w:rsid w:val="33DD1EBE"/>
    <w:rsid w:val="33DD77F2"/>
    <w:rsid w:val="3435FC25"/>
    <w:rsid w:val="347F4842"/>
    <w:rsid w:val="34D2F1CC"/>
    <w:rsid w:val="34E942D9"/>
    <w:rsid w:val="350E49CE"/>
    <w:rsid w:val="352957FB"/>
    <w:rsid w:val="352C0CCA"/>
    <w:rsid w:val="353E630A"/>
    <w:rsid w:val="35461F5B"/>
    <w:rsid w:val="3552213E"/>
    <w:rsid w:val="35541C66"/>
    <w:rsid w:val="355B7395"/>
    <w:rsid w:val="356BF5F5"/>
    <w:rsid w:val="357CF864"/>
    <w:rsid w:val="35A1E457"/>
    <w:rsid w:val="35A4DFB5"/>
    <w:rsid w:val="35A54224"/>
    <w:rsid w:val="35A6B74F"/>
    <w:rsid w:val="35AFA414"/>
    <w:rsid w:val="35BE4019"/>
    <w:rsid w:val="35C575B8"/>
    <w:rsid w:val="35DE2A39"/>
    <w:rsid w:val="3632FEA9"/>
    <w:rsid w:val="363C482F"/>
    <w:rsid w:val="3647E65F"/>
    <w:rsid w:val="36512C23"/>
    <w:rsid w:val="3653F8D1"/>
    <w:rsid w:val="36728AEB"/>
    <w:rsid w:val="36793B38"/>
    <w:rsid w:val="367AD92A"/>
    <w:rsid w:val="369B4BE0"/>
    <w:rsid w:val="36A0AFEA"/>
    <w:rsid w:val="36ABDD04"/>
    <w:rsid w:val="36ACB2B9"/>
    <w:rsid w:val="36AEC38D"/>
    <w:rsid w:val="36B1F4CF"/>
    <w:rsid w:val="36BD281F"/>
    <w:rsid w:val="36C0B1BD"/>
    <w:rsid w:val="36D831E6"/>
    <w:rsid w:val="370136BD"/>
    <w:rsid w:val="373CE12D"/>
    <w:rsid w:val="37537F6C"/>
    <w:rsid w:val="375DD2AF"/>
    <w:rsid w:val="376141A9"/>
    <w:rsid w:val="3761CB3B"/>
    <w:rsid w:val="376C7543"/>
    <w:rsid w:val="376D2422"/>
    <w:rsid w:val="3778B892"/>
    <w:rsid w:val="379AA083"/>
    <w:rsid w:val="37B23139"/>
    <w:rsid w:val="384C731A"/>
    <w:rsid w:val="38573334"/>
    <w:rsid w:val="3886EE76"/>
    <w:rsid w:val="388A9558"/>
    <w:rsid w:val="3899FF18"/>
    <w:rsid w:val="38A913C9"/>
    <w:rsid w:val="38CF3459"/>
    <w:rsid w:val="391424CF"/>
    <w:rsid w:val="391EAEF9"/>
    <w:rsid w:val="398900B0"/>
    <w:rsid w:val="399A7B20"/>
    <w:rsid w:val="399AB97A"/>
    <w:rsid w:val="39A46885"/>
    <w:rsid w:val="39B3BBB7"/>
    <w:rsid w:val="39F4AB3F"/>
    <w:rsid w:val="3A1D75CF"/>
    <w:rsid w:val="3A23D104"/>
    <w:rsid w:val="3A3B9D36"/>
    <w:rsid w:val="3A411D80"/>
    <w:rsid w:val="3A469413"/>
    <w:rsid w:val="3A4FB43F"/>
    <w:rsid w:val="3A6192C7"/>
    <w:rsid w:val="3A85A622"/>
    <w:rsid w:val="3A9AC64E"/>
    <w:rsid w:val="3ADA427E"/>
    <w:rsid w:val="3B2F3159"/>
    <w:rsid w:val="3B37990C"/>
    <w:rsid w:val="3B38C09F"/>
    <w:rsid w:val="3B3FB492"/>
    <w:rsid w:val="3B7018E8"/>
    <w:rsid w:val="3B727DB5"/>
    <w:rsid w:val="3B963384"/>
    <w:rsid w:val="3BA0FEC2"/>
    <w:rsid w:val="3BA64A36"/>
    <w:rsid w:val="3BDA665F"/>
    <w:rsid w:val="3BE82903"/>
    <w:rsid w:val="3BF52A3C"/>
    <w:rsid w:val="3BFE19D1"/>
    <w:rsid w:val="3BFFF770"/>
    <w:rsid w:val="3C07CEFA"/>
    <w:rsid w:val="3C0E18BC"/>
    <w:rsid w:val="3C0E9706"/>
    <w:rsid w:val="3C39FDA5"/>
    <w:rsid w:val="3C6D5AF4"/>
    <w:rsid w:val="3C91EF97"/>
    <w:rsid w:val="3C9350B0"/>
    <w:rsid w:val="3C9A2A3E"/>
    <w:rsid w:val="3CA20277"/>
    <w:rsid w:val="3CA43052"/>
    <w:rsid w:val="3CC9227A"/>
    <w:rsid w:val="3CCDB79C"/>
    <w:rsid w:val="3CDE4881"/>
    <w:rsid w:val="3CF223CE"/>
    <w:rsid w:val="3D0E93DB"/>
    <w:rsid w:val="3D365374"/>
    <w:rsid w:val="3D422CAA"/>
    <w:rsid w:val="3D558397"/>
    <w:rsid w:val="3D6A8466"/>
    <w:rsid w:val="3D8346D2"/>
    <w:rsid w:val="3D8A237E"/>
    <w:rsid w:val="3D91498C"/>
    <w:rsid w:val="3DC92DEF"/>
    <w:rsid w:val="3DC9457B"/>
    <w:rsid w:val="3E1F218A"/>
    <w:rsid w:val="3E24790D"/>
    <w:rsid w:val="3E55E0C3"/>
    <w:rsid w:val="3E951AD6"/>
    <w:rsid w:val="3E9BDC92"/>
    <w:rsid w:val="3EA521C5"/>
    <w:rsid w:val="3ED634E8"/>
    <w:rsid w:val="3EFA3BD6"/>
    <w:rsid w:val="3F30DA9F"/>
    <w:rsid w:val="3F359C50"/>
    <w:rsid w:val="3F43FB79"/>
    <w:rsid w:val="3F7FAAAC"/>
    <w:rsid w:val="3F955FFA"/>
    <w:rsid w:val="3FA154F9"/>
    <w:rsid w:val="3FB3DDCA"/>
    <w:rsid w:val="3FC9323C"/>
    <w:rsid w:val="3FDB0CBE"/>
    <w:rsid w:val="3FE8392A"/>
    <w:rsid w:val="40076458"/>
    <w:rsid w:val="401834A4"/>
    <w:rsid w:val="405AB702"/>
    <w:rsid w:val="407EBDF1"/>
    <w:rsid w:val="40AEF10E"/>
    <w:rsid w:val="40CFF04B"/>
    <w:rsid w:val="40E8E5CD"/>
    <w:rsid w:val="40EBAB50"/>
    <w:rsid w:val="4110A2C8"/>
    <w:rsid w:val="41B1A3A5"/>
    <w:rsid w:val="41E60097"/>
    <w:rsid w:val="41FEB28C"/>
    <w:rsid w:val="420CEBFD"/>
    <w:rsid w:val="421CB09B"/>
    <w:rsid w:val="422B99A2"/>
    <w:rsid w:val="422DA44D"/>
    <w:rsid w:val="424513AD"/>
    <w:rsid w:val="42A091A3"/>
    <w:rsid w:val="42B70D97"/>
    <w:rsid w:val="42C04B48"/>
    <w:rsid w:val="42C3729E"/>
    <w:rsid w:val="42FD9394"/>
    <w:rsid w:val="4309F610"/>
    <w:rsid w:val="43165A61"/>
    <w:rsid w:val="433DFE94"/>
    <w:rsid w:val="4340E2F6"/>
    <w:rsid w:val="4349A398"/>
    <w:rsid w:val="43557532"/>
    <w:rsid w:val="435B3B10"/>
    <w:rsid w:val="436600D4"/>
    <w:rsid w:val="4376735F"/>
    <w:rsid w:val="437EC2C2"/>
    <w:rsid w:val="440E4E6C"/>
    <w:rsid w:val="442A0637"/>
    <w:rsid w:val="4436BFB8"/>
    <w:rsid w:val="44416F8D"/>
    <w:rsid w:val="445435C7"/>
    <w:rsid w:val="4457F3D9"/>
    <w:rsid w:val="446AFC4C"/>
    <w:rsid w:val="4475DC87"/>
    <w:rsid w:val="448FF3AC"/>
    <w:rsid w:val="44C3AB62"/>
    <w:rsid w:val="44C43719"/>
    <w:rsid w:val="451C0976"/>
    <w:rsid w:val="453DD5AE"/>
    <w:rsid w:val="455248DF"/>
    <w:rsid w:val="457C1FDB"/>
    <w:rsid w:val="458A05C9"/>
    <w:rsid w:val="4597592A"/>
    <w:rsid w:val="45ADFC9F"/>
    <w:rsid w:val="45E0EFEC"/>
    <w:rsid w:val="45EEF2D1"/>
    <w:rsid w:val="45F1FC42"/>
    <w:rsid w:val="46025977"/>
    <w:rsid w:val="4609489B"/>
    <w:rsid w:val="4620A48B"/>
    <w:rsid w:val="46227A50"/>
    <w:rsid w:val="4643364C"/>
    <w:rsid w:val="465EB91F"/>
    <w:rsid w:val="46660170"/>
    <w:rsid w:val="4686F3F3"/>
    <w:rsid w:val="468A0DD8"/>
    <w:rsid w:val="469A2607"/>
    <w:rsid w:val="46EAA918"/>
    <w:rsid w:val="4704429E"/>
    <w:rsid w:val="470FA920"/>
    <w:rsid w:val="4722497D"/>
    <w:rsid w:val="474C561D"/>
    <w:rsid w:val="47630CE5"/>
    <w:rsid w:val="47711914"/>
    <w:rsid w:val="47967B9A"/>
    <w:rsid w:val="4798154D"/>
    <w:rsid w:val="47CCF3D6"/>
    <w:rsid w:val="47F2BB95"/>
    <w:rsid w:val="47F662DF"/>
    <w:rsid w:val="4816E5C8"/>
    <w:rsid w:val="482CF353"/>
    <w:rsid w:val="4854E4D3"/>
    <w:rsid w:val="485C307C"/>
    <w:rsid w:val="4867051D"/>
    <w:rsid w:val="4873CCBF"/>
    <w:rsid w:val="48753011"/>
    <w:rsid w:val="48D3DB3C"/>
    <w:rsid w:val="48D8BAE1"/>
    <w:rsid w:val="48E69A5D"/>
    <w:rsid w:val="48F87990"/>
    <w:rsid w:val="49123FDB"/>
    <w:rsid w:val="492A3F85"/>
    <w:rsid w:val="4934F1B4"/>
    <w:rsid w:val="4936408B"/>
    <w:rsid w:val="49671FA3"/>
    <w:rsid w:val="4980FDE6"/>
    <w:rsid w:val="49AD57EC"/>
    <w:rsid w:val="49BC3E4A"/>
    <w:rsid w:val="49CC7A28"/>
    <w:rsid w:val="4A070B63"/>
    <w:rsid w:val="4A0A085F"/>
    <w:rsid w:val="4A147A46"/>
    <w:rsid w:val="4A236EEB"/>
    <w:rsid w:val="4AC1EEA1"/>
    <w:rsid w:val="4AD2F556"/>
    <w:rsid w:val="4AD65B4B"/>
    <w:rsid w:val="4AF0F21F"/>
    <w:rsid w:val="4B0910F8"/>
    <w:rsid w:val="4B0D2886"/>
    <w:rsid w:val="4B176F0F"/>
    <w:rsid w:val="4B866D82"/>
    <w:rsid w:val="4BA5341E"/>
    <w:rsid w:val="4BAE7E51"/>
    <w:rsid w:val="4BD21690"/>
    <w:rsid w:val="4BE24120"/>
    <w:rsid w:val="4C0B2ADC"/>
    <w:rsid w:val="4C1AFBF3"/>
    <w:rsid w:val="4C2B9410"/>
    <w:rsid w:val="4C4D744F"/>
    <w:rsid w:val="4C543FE0"/>
    <w:rsid w:val="4C5F46FC"/>
    <w:rsid w:val="4C62F77B"/>
    <w:rsid w:val="4C751CD7"/>
    <w:rsid w:val="4C7AD172"/>
    <w:rsid w:val="4C8E3D43"/>
    <w:rsid w:val="4C90DEC7"/>
    <w:rsid w:val="4CC214E8"/>
    <w:rsid w:val="4CCA89CC"/>
    <w:rsid w:val="4CD09E08"/>
    <w:rsid w:val="4D1DFCAE"/>
    <w:rsid w:val="4D22BFAA"/>
    <w:rsid w:val="4D3FCDB3"/>
    <w:rsid w:val="4D4D20F4"/>
    <w:rsid w:val="4D9C2D3F"/>
    <w:rsid w:val="4DC2584D"/>
    <w:rsid w:val="4DE988BF"/>
    <w:rsid w:val="4DF197D4"/>
    <w:rsid w:val="4E2B91DA"/>
    <w:rsid w:val="4E34F132"/>
    <w:rsid w:val="4E34F2EE"/>
    <w:rsid w:val="4E630394"/>
    <w:rsid w:val="4E6FB212"/>
    <w:rsid w:val="4E799236"/>
    <w:rsid w:val="4E841C3C"/>
    <w:rsid w:val="4E9152D5"/>
    <w:rsid w:val="4E91D977"/>
    <w:rsid w:val="4EA326DB"/>
    <w:rsid w:val="4EA59AC9"/>
    <w:rsid w:val="4EA5D45B"/>
    <w:rsid w:val="4EC294EE"/>
    <w:rsid w:val="4ED84254"/>
    <w:rsid w:val="4EED0926"/>
    <w:rsid w:val="4EF37CAB"/>
    <w:rsid w:val="4F04E563"/>
    <w:rsid w:val="4F26BA3E"/>
    <w:rsid w:val="4F26D1C7"/>
    <w:rsid w:val="4F2A02C4"/>
    <w:rsid w:val="4F35D461"/>
    <w:rsid w:val="4F3E22D3"/>
    <w:rsid w:val="4F636BAE"/>
    <w:rsid w:val="4F6BF8C6"/>
    <w:rsid w:val="4F874D55"/>
    <w:rsid w:val="4FA05D10"/>
    <w:rsid w:val="4FBE68FE"/>
    <w:rsid w:val="4FC28136"/>
    <w:rsid w:val="4FD42729"/>
    <w:rsid w:val="4FDB2654"/>
    <w:rsid w:val="4FF7D0B6"/>
    <w:rsid w:val="4FFD9048"/>
    <w:rsid w:val="4FFEDB1A"/>
    <w:rsid w:val="5044DA6B"/>
    <w:rsid w:val="5056842E"/>
    <w:rsid w:val="5062472C"/>
    <w:rsid w:val="507201D4"/>
    <w:rsid w:val="50757EC4"/>
    <w:rsid w:val="507D445F"/>
    <w:rsid w:val="509ABFB9"/>
    <w:rsid w:val="509FE7DE"/>
    <w:rsid w:val="50CC6B78"/>
    <w:rsid w:val="50D3A290"/>
    <w:rsid w:val="50DA8682"/>
    <w:rsid w:val="51053A63"/>
    <w:rsid w:val="510B87DF"/>
    <w:rsid w:val="511879AE"/>
    <w:rsid w:val="512497B5"/>
    <w:rsid w:val="5131A10E"/>
    <w:rsid w:val="5145869A"/>
    <w:rsid w:val="516C051A"/>
    <w:rsid w:val="5171EF79"/>
    <w:rsid w:val="518AFF36"/>
    <w:rsid w:val="51A386A5"/>
    <w:rsid w:val="51A84316"/>
    <w:rsid w:val="51BF8939"/>
    <w:rsid w:val="51C1AC13"/>
    <w:rsid w:val="51FB471B"/>
    <w:rsid w:val="51FCEC31"/>
    <w:rsid w:val="52529CD3"/>
    <w:rsid w:val="527E2DEE"/>
    <w:rsid w:val="52A36812"/>
    <w:rsid w:val="52CA889D"/>
    <w:rsid w:val="52F8D67B"/>
    <w:rsid w:val="5309BC2C"/>
    <w:rsid w:val="535C45EB"/>
    <w:rsid w:val="5375E915"/>
    <w:rsid w:val="5386B7AC"/>
    <w:rsid w:val="538A70DB"/>
    <w:rsid w:val="53B2A7A3"/>
    <w:rsid w:val="53CF9D7A"/>
    <w:rsid w:val="53D8E245"/>
    <w:rsid w:val="53DA8933"/>
    <w:rsid w:val="53EAE6DF"/>
    <w:rsid w:val="53FB594B"/>
    <w:rsid w:val="53FCCA54"/>
    <w:rsid w:val="5419C503"/>
    <w:rsid w:val="543A5215"/>
    <w:rsid w:val="545B730D"/>
    <w:rsid w:val="548EF23B"/>
    <w:rsid w:val="5494DDAF"/>
    <w:rsid w:val="549E8E38"/>
    <w:rsid w:val="54BF70D0"/>
    <w:rsid w:val="54F3DA79"/>
    <w:rsid w:val="5507CC7B"/>
    <w:rsid w:val="5522FF25"/>
    <w:rsid w:val="55352893"/>
    <w:rsid w:val="55478C46"/>
    <w:rsid w:val="5557DC6D"/>
    <w:rsid w:val="55663538"/>
    <w:rsid w:val="5568229E"/>
    <w:rsid w:val="558FAC4E"/>
    <w:rsid w:val="5599B8A2"/>
    <w:rsid w:val="55A59AA2"/>
    <w:rsid w:val="55A673AA"/>
    <w:rsid w:val="55D169AC"/>
    <w:rsid w:val="55EDD5FA"/>
    <w:rsid w:val="566421D4"/>
    <w:rsid w:val="568854CA"/>
    <w:rsid w:val="56B1F575"/>
    <w:rsid w:val="56DCD5E2"/>
    <w:rsid w:val="56F85224"/>
    <w:rsid w:val="56F956CC"/>
    <w:rsid w:val="56FD8FA9"/>
    <w:rsid w:val="5713FC1D"/>
    <w:rsid w:val="5752C1DF"/>
    <w:rsid w:val="5759CCB3"/>
    <w:rsid w:val="5794680C"/>
    <w:rsid w:val="57A0D39D"/>
    <w:rsid w:val="57B5C0C9"/>
    <w:rsid w:val="57E5D68F"/>
    <w:rsid w:val="581095F9"/>
    <w:rsid w:val="581B2B5F"/>
    <w:rsid w:val="5837B6C7"/>
    <w:rsid w:val="584DC845"/>
    <w:rsid w:val="5858C4E1"/>
    <w:rsid w:val="585A16DC"/>
    <w:rsid w:val="5864868A"/>
    <w:rsid w:val="586DBDB6"/>
    <w:rsid w:val="588E53C4"/>
    <w:rsid w:val="58A42D76"/>
    <w:rsid w:val="58CE26EA"/>
    <w:rsid w:val="5911809C"/>
    <w:rsid w:val="59267FD9"/>
    <w:rsid w:val="5937AD9B"/>
    <w:rsid w:val="59685D8E"/>
    <w:rsid w:val="59854170"/>
    <w:rsid w:val="5A1D0E2D"/>
    <w:rsid w:val="5A651B82"/>
    <w:rsid w:val="5A75F1D6"/>
    <w:rsid w:val="5A883008"/>
    <w:rsid w:val="5A99FF82"/>
    <w:rsid w:val="5ADBFD6D"/>
    <w:rsid w:val="5ADE312B"/>
    <w:rsid w:val="5AEC3ED7"/>
    <w:rsid w:val="5AF64C8E"/>
    <w:rsid w:val="5AFB1178"/>
    <w:rsid w:val="5AFE4D3D"/>
    <w:rsid w:val="5B401727"/>
    <w:rsid w:val="5B46F642"/>
    <w:rsid w:val="5B4CBD62"/>
    <w:rsid w:val="5B6BF026"/>
    <w:rsid w:val="5B7CAA6A"/>
    <w:rsid w:val="5BA235A2"/>
    <w:rsid w:val="5BA3308D"/>
    <w:rsid w:val="5BB8FFBC"/>
    <w:rsid w:val="5BC3A1A1"/>
    <w:rsid w:val="5BDF662F"/>
    <w:rsid w:val="5BE0D383"/>
    <w:rsid w:val="5BF778E3"/>
    <w:rsid w:val="5C02C4B2"/>
    <w:rsid w:val="5C210A19"/>
    <w:rsid w:val="5C6EDDBE"/>
    <w:rsid w:val="5C8FF6C2"/>
    <w:rsid w:val="5CCD1070"/>
    <w:rsid w:val="5CD36955"/>
    <w:rsid w:val="5CD728A2"/>
    <w:rsid w:val="5CEB4AD3"/>
    <w:rsid w:val="5CEE37D7"/>
    <w:rsid w:val="5CFFACAA"/>
    <w:rsid w:val="5D17FD22"/>
    <w:rsid w:val="5D2CC3DB"/>
    <w:rsid w:val="5D331E63"/>
    <w:rsid w:val="5D3BEF57"/>
    <w:rsid w:val="5D4E75C9"/>
    <w:rsid w:val="5D62D4BB"/>
    <w:rsid w:val="5D690C66"/>
    <w:rsid w:val="5D8C2C56"/>
    <w:rsid w:val="5D9F7AC3"/>
    <w:rsid w:val="5E1C8550"/>
    <w:rsid w:val="5E236622"/>
    <w:rsid w:val="5E553A52"/>
    <w:rsid w:val="5E66C34B"/>
    <w:rsid w:val="5E7E0A0A"/>
    <w:rsid w:val="5E8545CF"/>
    <w:rsid w:val="5E99680A"/>
    <w:rsid w:val="5EAAECEB"/>
    <w:rsid w:val="5EACCC24"/>
    <w:rsid w:val="5EB4889C"/>
    <w:rsid w:val="5EC5C482"/>
    <w:rsid w:val="5F0A2FB3"/>
    <w:rsid w:val="5F0ADB12"/>
    <w:rsid w:val="5F124D7D"/>
    <w:rsid w:val="5F1939A9"/>
    <w:rsid w:val="5F1C743A"/>
    <w:rsid w:val="5F1CDFA1"/>
    <w:rsid w:val="5F2617A7"/>
    <w:rsid w:val="5F543838"/>
    <w:rsid w:val="5F578F21"/>
    <w:rsid w:val="5FA35519"/>
    <w:rsid w:val="5FDC9619"/>
    <w:rsid w:val="5FEA9111"/>
    <w:rsid w:val="602D062A"/>
    <w:rsid w:val="602D2B60"/>
    <w:rsid w:val="6032FFBF"/>
    <w:rsid w:val="603C1AD0"/>
    <w:rsid w:val="6045DA2E"/>
    <w:rsid w:val="604CDACD"/>
    <w:rsid w:val="6067F216"/>
    <w:rsid w:val="6069874A"/>
    <w:rsid w:val="6081A520"/>
    <w:rsid w:val="60821D15"/>
    <w:rsid w:val="608223C3"/>
    <w:rsid w:val="6099A58A"/>
    <w:rsid w:val="60B2B744"/>
    <w:rsid w:val="60B373DB"/>
    <w:rsid w:val="61211734"/>
    <w:rsid w:val="6123C5EF"/>
    <w:rsid w:val="61355221"/>
    <w:rsid w:val="616656B2"/>
    <w:rsid w:val="618CCF3D"/>
    <w:rsid w:val="61949497"/>
    <w:rsid w:val="6199DB05"/>
    <w:rsid w:val="619A235F"/>
    <w:rsid w:val="61C252EA"/>
    <w:rsid w:val="61C8293B"/>
    <w:rsid w:val="61FEB426"/>
    <w:rsid w:val="61FF53EA"/>
    <w:rsid w:val="620192F8"/>
    <w:rsid w:val="620EE3E8"/>
    <w:rsid w:val="623E366A"/>
    <w:rsid w:val="623F6EBD"/>
    <w:rsid w:val="623F8FAF"/>
    <w:rsid w:val="624B60AC"/>
    <w:rsid w:val="62594648"/>
    <w:rsid w:val="625E85B6"/>
    <w:rsid w:val="626BF118"/>
    <w:rsid w:val="6281256A"/>
    <w:rsid w:val="629D5402"/>
    <w:rsid w:val="62FD5B82"/>
    <w:rsid w:val="62FFF505"/>
    <w:rsid w:val="630933BF"/>
    <w:rsid w:val="630F6237"/>
    <w:rsid w:val="634852EB"/>
    <w:rsid w:val="6356790A"/>
    <w:rsid w:val="63582B74"/>
    <w:rsid w:val="635CF66C"/>
    <w:rsid w:val="638FD3FA"/>
    <w:rsid w:val="63A4FEDD"/>
    <w:rsid w:val="63B51354"/>
    <w:rsid w:val="64075A36"/>
    <w:rsid w:val="6414C681"/>
    <w:rsid w:val="6417D64D"/>
    <w:rsid w:val="64292AC5"/>
    <w:rsid w:val="64507CD9"/>
    <w:rsid w:val="64510CCB"/>
    <w:rsid w:val="64833A41"/>
    <w:rsid w:val="6498A93D"/>
    <w:rsid w:val="64C5D464"/>
    <w:rsid w:val="64DFEFB7"/>
    <w:rsid w:val="64EB67AB"/>
    <w:rsid w:val="655DFBBD"/>
    <w:rsid w:val="655FE9C1"/>
    <w:rsid w:val="65723A94"/>
    <w:rsid w:val="6577E43F"/>
    <w:rsid w:val="6582F7C9"/>
    <w:rsid w:val="6598D6E3"/>
    <w:rsid w:val="65B4FAB4"/>
    <w:rsid w:val="65C34BA5"/>
    <w:rsid w:val="65D2A0DB"/>
    <w:rsid w:val="65DA41CF"/>
    <w:rsid w:val="66139BF0"/>
    <w:rsid w:val="662B6829"/>
    <w:rsid w:val="6649EF58"/>
    <w:rsid w:val="665D53EF"/>
    <w:rsid w:val="668911D0"/>
    <w:rsid w:val="66924089"/>
    <w:rsid w:val="66A6189B"/>
    <w:rsid w:val="66C1274D"/>
    <w:rsid w:val="67010677"/>
    <w:rsid w:val="671BD643"/>
    <w:rsid w:val="673B28C9"/>
    <w:rsid w:val="673E9AFB"/>
    <w:rsid w:val="67400D62"/>
    <w:rsid w:val="674D9D0B"/>
    <w:rsid w:val="6753A7A9"/>
    <w:rsid w:val="678D2433"/>
    <w:rsid w:val="6794C899"/>
    <w:rsid w:val="679E2E4A"/>
    <w:rsid w:val="67B10CE7"/>
    <w:rsid w:val="67BB5B7D"/>
    <w:rsid w:val="6825A5B1"/>
    <w:rsid w:val="684882D9"/>
    <w:rsid w:val="68540F25"/>
    <w:rsid w:val="68584C69"/>
    <w:rsid w:val="6875BAEB"/>
    <w:rsid w:val="68882119"/>
    <w:rsid w:val="68A5D22D"/>
    <w:rsid w:val="68FE914B"/>
    <w:rsid w:val="69398267"/>
    <w:rsid w:val="69625DFD"/>
    <w:rsid w:val="69957126"/>
    <w:rsid w:val="69E670BD"/>
    <w:rsid w:val="69E6F7A2"/>
    <w:rsid w:val="6A0393DF"/>
    <w:rsid w:val="6A1318EB"/>
    <w:rsid w:val="6A2A02E8"/>
    <w:rsid w:val="6A634B9E"/>
    <w:rsid w:val="6A78290B"/>
    <w:rsid w:val="6A99FEC5"/>
    <w:rsid w:val="6ADAAEE0"/>
    <w:rsid w:val="6AE01798"/>
    <w:rsid w:val="6AE8CE2D"/>
    <w:rsid w:val="6AE9859C"/>
    <w:rsid w:val="6AFDE22D"/>
    <w:rsid w:val="6B0BC0C8"/>
    <w:rsid w:val="6B1C937C"/>
    <w:rsid w:val="6B43E8B2"/>
    <w:rsid w:val="6B45DD8A"/>
    <w:rsid w:val="6B48A2C0"/>
    <w:rsid w:val="6B4A0497"/>
    <w:rsid w:val="6B56D28E"/>
    <w:rsid w:val="6B8BDC8C"/>
    <w:rsid w:val="6B8C7447"/>
    <w:rsid w:val="6BCC7A82"/>
    <w:rsid w:val="6BDA21F5"/>
    <w:rsid w:val="6C010F5D"/>
    <w:rsid w:val="6C38C54C"/>
    <w:rsid w:val="6C38C648"/>
    <w:rsid w:val="6C6E07D0"/>
    <w:rsid w:val="6C914C00"/>
    <w:rsid w:val="6CA632BB"/>
    <w:rsid w:val="6CAEE644"/>
    <w:rsid w:val="6CB71634"/>
    <w:rsid w:val="6CD48A68"/>
    <w:rsid w:val="6CE123AB"/>
    <w:rsid w:val="6CF556E3"/>
    <w:rsid w:val="6D2315FE"/>
    <w:rsid w:val="6D2C6CB5"/>
    <w:rsid w:val="6D668B8B"/>
    <w:rsid w:val="6D7B851B"/>
    <w:rsid w:val="6D800DB5"/>
    <w:rsid w:val="6D8D6B56"/>
    <w:rsid w:val="6DA3FD96"/>
    <w:rsid w:val="6DBB6ACF"/>
    <w:rsid w:val="6DCE419C"/>
    <w:rsid w:val="6DD3B7D0"/>
    <w:rsid w:val="6E2C04FA"/>
    <w:rsid w:val="6E33FC8A"/>
    <w:rsid w:val="6E3ACA8D"/>
    <w:rsid w:val="6E3C8208"/>
    <w:rsid w:val="6E3F57E0"/>
    <w:rsid w:val="6E56334F"/>
    <w:rsid w:val="6E7B4DFE"/>
    <w:rsid w:val="6EB2A251"/>
    <w:rsid w:val="6EFC66E0"/>
    <w:rsid w:val="6F20B544"/>
    <w:rsid w:val="6F3B51F4"/>
    <w:rsid w:val="6F5CEF86"/>
    <w:rsid w:val="6F5D7AF4"/>
    <w:rsid w:val="6F6C7671"/>
    <w:rsid w:val="6F6E0DCA"/>
    <w:rsid w:val="6F72F9FD"/>
    <w:rsid w:val="6F7A026C"/>
    <w:rsid w:val="6FA13362"/>
    <w:rsid w:val="6FAE4466"/>
    <w:rsid w:val="6FAEC2D6"/>
    <w:rsid w:val="6FB19F75"/>
    <w:rsid w:val="6FCBFAD0"/>
    <w:rsid w:val="700EBF5E"/>
    <w:rsid w:val="7018EAC2"/>
    <w:rsid w:val="701AEF24"/>
    <w:rsid w:val="703CD3B8"/>
    <w:rsid w:val="7045251F"/>
    <w:rsid w:val="7058FD2F"/>
    <w:rsid w:val="70900A5A"/>
    <w:rsid w:val="70905694"/>
    <w:rsid w:val="70AABEA7"/>
    <w:rsid w:val="70C9ACBF"/>
    <w:rsid w:val="70E1A37E"/>
    <w:rsid w:val="70EDED06"/>
    <w:rsid w:val="71030F58"/>
    <w:rsid w:val="7139DBB9"/>
    <w:rsid w:val="714B200C"/>
    <w:rsid w:val="7151DF72"/>
    <w:rsid w:val="71529672"/>
    <w:rsid w:val="71537DE8"/>
    <w:rsid w:val="7203D5E9"/>
    <w:rsid w:val="720FA574"/>
    <w:rsid w:val="724D547E"/>
    <w:rsid w:val="7258E2D4"/>
    <w:rsid w:val="72840706"/>
    <w:rsid w:val="72842778"/>
    <w:rsid w:val="7287658D"/>
    <w:rsid w:val="72AFCB68"/>
    <w:rsid w:val="72B56F13"/>
    <w:rsid w:val="72E5EF46"/>
    <w:rsid w:val="72FED2D7"/>
    <w:rsid w:val="73112F22"/>
    <w:rsid w:val="73219B11"/>
    <w:rsid w:val="7339AF46"/>
    <w:rsid w:val="73429555"/>
    <w:rsid w:val="7347E538"/>
    <w:rsid w:val="736F980F"/>
    <w:rsid w:val="738EF70C"/>
    <w:rsid w:val="739C82B0"/>
    <w:rsid w:val="73B16486"/>
    <w:rsid w:val="73C6936D"/>
    <w:rsid w:val="73CE28E4"/>
    <w:rsid w:val="73D1E689"/>
    <w:rsid w:val="73DA621F"/>
    <w:rsid w:val="73EF7C46"/>
    <w:rsid w:val="73F9D7D0"/>
    <w:rsid w:val="741BA0BC"/>
    <w:rsid w:val="742E9298"/>
    <w:rsid w:val="74309994"/>
    <w:rsid w:val="746DA284"/>
    <w:rsid w:val="747225E4"/>
    <w:rsid w:val="749E0120"/>
    <w:rsid w:val="74ACE3B7"/>
    <w:rsid w:val="74B2CDB7"/>
    <w:rsid w:val="74C408CF"/>
    <w:rsid w:val="74C6E204"/>
    <w:rsid w:val="74CADCDD"/>
    <w:rsid w:val="74DDEE37"/>
    <w:rsid w:val="74F62242"/>
    <w:rsid w:val="7512A317"/>
    <w:rsid w:val="7562CD6E"/>
    <w:rsid w:val="7567EDF5"/>
    <w:rsid w:val="75703F9C"/>
    <w:rsid w:val="75AB7EA4"/>
    <w:rsid w:val="75D083D8"/>
    <w:rsid w:val="75D35081"/>
    <w:rsid w:val="75E94222"/>
    <w:rsid w:val="75EA2FC9"/>
    <w:rsid w:val="75FFADDA"/>
    <w:rsid w:val="76709FF9"/>
    <w:rsid w:val="76914C71"/>
    <w:rsid w:val="769D90F4"/>
    <w:rsid w:val="76B54A73"/>
    <w:rsid w:val="76CC271C"/>
    <w:rsid w:val="76CDB06C"/>
    <w:rsid w:val="76E66173"/>
    <w:rsid w:val="7711E62B"/>
    <w:rsid w:val="77908A2C"/>
    <w:rsid w:val="77A64782"/>
    <w:rsid w:val="77A69C34"/>
    <w:rsid w:val="77AF391B"/>
    <w:rsid w:val="77B40497"/>
    <w:rsid w:val="77D6E24C"/>
    <w:rsid w:val="7800AF5B"/>
    <w:rsid w:val="7815C008"/>
    <w:rsid w:val="781B77E4"/>
    <w:rsid w:val="78214323"/>
    <w:rsid w:val="7849FB2E"/>
    <w:rsid w:val="784E5805"/>
    <w:rsid w:val="7866A694"/>
    <w:rsid w:val="788CC4D1"/>
    <w:rsid w:val="789AF5AE"/>
    <w:rsid w:val="78C48A46"/>
    <w:rsid w:val="78E318FF"/>
    <w:rsid w:val="78F8C888"/>
    <w:rsid w:val="7920A2D6"/>
    <w:rsid w:val="792C623B"/>
    <w:rsid w:val="7943E1CD"/>
    <w:rsid w:val="798FDBC2"/>
    <w:rsid w:val="7997E336"/>
    <w:rsid w:val="799FFD03"/>
    <w:rsid w:val="79B4309C"/>
    <w:rsid w:val="79CF2916"/>
    <w:rsid w:val="79DCBC3A"/>
    <w:rsid w:val="79EF50C4"/>
    <w:rsid w:val="7A1CE873"/>
    <w:rsid w:val="7A25428A"/>
    <w:rsid w:val="7A3277D4"/>
    <w:rsid w:val="7A350981"/>
    <w:rsid w:val="7A660FF3"/>
    <w:rsid w:val="7A763791"/>
    <w:rsid w:val="7AA49A5C"/>
    <w:rsid w:val="7AB01318"/>
    <w:rsid w:val="7AB217AD"/>
    <w:rsid w:val="7AB764F0"/>
    <w:rsid w:val="7AB8416D"/>
    <w:rsid w:val="7ACC2CC5"/>
    <w:rsid w:val="7AF372CB"/>
    <w:rsid w:val="7AF86F24"/>
    <w:rsid w:val="7B05DC59"/>
    <w:rsid w:val="7B28107C"/>
    <w:rsid w:val="7B294DC1"/>
    <w:rsid w:val="7B2FE77F"/>
    <w:rsid w:val="7B408AB1"/>
    <w:rsid w:val="7B70F7E7"/>
    <w:rsid w:val="7B7B2FEE"/>
    <w:rsid w:val="7BA447EA"/>
    <w:rsid w:val="7BD73E5F"/>
    <w:rsid w:val="7BD98FDC"/>
    <w:rsid w:val="7BEC5471"/>
    <w:rsid w:val="7BED6AF4"/>
    <w:rsid w:val="7C141916"/>
    <w:rsid w:val="7C390CAD"/>
    <w:rsid w:val="7C39B76F"/>
    <w:rsid w:val="7C8893E6"/>
    <w:rsid w:val="7CC673BC"/>
    <w:rsid w:val="7CCAF1C0"/>
    <w:rsid w:val="7D210CD0"/>
    <w:rsid w:val="7D363D04"/>
    <w:rsid w:val="7D3D8A63"/>
    <w:rsid w:val="7D5F1575"/>
    <w:rsid w:val="7D68455D"/>
    <w:rsid w:val="7D946942"/>
    <w:rsid w:val="7DC29A98"/>
    <w:rsid w:val="7DC5BA76"/>
    <w:rsid w:val="7DE5F7D6"/>
    <w:rsid w:val="7DE6782C"/>
    <w:rsid w:val="7DEE68EA"/>
    <w:rsid w:val="7E0050B6"/>
    <w:rsid w:val="7E09FF2B"/>
    <w:rsid w:val="7E340E1B"/>
    <w:rsid w:val="7E421BB8"/>
    <w:rsid w:val="7E675BAB"/>
    <w:rsid w:val="7EBA5D55"/>
    <w:rsid w:val="7ED71612"/>
    <w:rsid w:val="7EF50D26"/>
    <w:rsid w:val="7EF53C90"/>
    <w:rsid w:val="7EF7CC7B"/>
    <w:rsid w:val="7F09A518"/>
    <w:rsid w:val="7F13BC50"/>
    <w:rsid w:val="7F22CE06"/>
    <w:rsid w:val="7F2947E7"/>
    <w:rsid w:val="7F64A4FD"/>
    <w:rsid w:val="7FDD9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2F007"/>
  <w15:chartTrackingRefBased/>
  <w15:docId w15:val="{AB1506F1-C98C-4C86-ADC2-C7E50121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3F6B"/>
  </w:style>
  <w:style w:type="paragraph" w:styleId="Nagwek1">
    <w:name w:val="heading 1"/>
    <w:basedOn w:val="Normalny"/>
    <w:next w:val="Normalny"/>
    <w:link w:val="Nagwek1Znak"/>
    <w:uiPriority w:val="9"/>
    <w:qFormat/>
    <w:rsid w:val="007D6E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D6E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D6E3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D6E3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D6E3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D6E3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E3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E3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E3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D6E3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D6E3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D6E3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D6E3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D6E3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D6E3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E3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E3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E38"/>
    <w:rPr>
      <w:rFonts w:eastAsiaTheme="majorEastAsia" w:cstheme="majorBidi"/>
      <w:color w:val="272727" w:themeColor="text1" w:themeTint="D8"/>
    </w:rPr>
  </w:style>
  <w:style w:type="paragraph" w:styleId="Tytu">
    <w:name w:val="Title"/>
    <w:basedOn w:val="Normalny"/>
    <w:next w:val="Normalny"/>
    <w:link w:val="TytuZnak"/>
    <w:uiPriority w:val="10"/>
    <w:qFormat/>
    <w:rsid w:val="007D6E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E3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E3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E3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E38"/>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E38"/>
    <w:rPr>
      <w:i/>
      <w:iCs/>
      <w:color w:val="404040" w:themeColor="text1" w:themeTint="BF"/>
    </w:rPr>
  </w:style>
  <w:style w:type="paragraph" w:styleId="Akapitzlist">
    <w:name w:val="List Paragraph"/>
    <w:basedOn w:val="Normalny"/>
    <w:uiPriority w:val="34"/>
    <w:qFormat/>
    <w:rsid w:val="007D6E38"/>
    <w:pPr>
      <w:ind w:left="720"/>
      <w:contextualSpacing/>
    </w:pPr>
  </w:style>
  <w:style w:type="character" w:styleId="Wyrnienieintensywne">
    <w:name w:val="Intense Emphasis"/>
    <w:basedOn w:val="Domylnaczcionkaakapitu"/>
    <w:uiPriority w:val="21"/>
    <w:qFormat/>
    <w:rsid w:val="007D6E38"/>
    <w:rPr>
      <w:i/>
      <w:iCs/>
      <w:color w:val="0F4761" w:themeColor="accent1" w:themeShade="BF"/>
    </w:rPr>
  </w:style>
  <w:style w:type="paragraph" w:styleId="Cytatintensywny">
    <w:name w:val="Intense Quote"/>
    <w:basedOn w:val="Normalny"/>
    <w:next w:val="Normalny"/>
    <w:link w:val="CytatintensywnyZnak"/>
    <w:uiPriority w:val="30"/>
    <w:qFormat/>
    <w:rsid w:val="007D6E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D6E38"/>
    <w:rPr>
      <w:i/>
      <w:iCs/>
      <w:color w:val="0F4761" w:themeColor="accent1" w:themeShade="BF"/>
    </w:rPr>
  </w:style>
  <w:style w:type="character" w:styleId="Odwoanieintensywne">
    <w:name w:val="Intense Reference"/>
    <w:basedOn w:val="Domylnaczcionkaakapitu"/>
    <w:uiPriority w:val="32"/>
    <w:qFormat/>
    <w:rsid w:val="007D6E38"/>
    <w:rPr>
      <w:b/>
      <w:bCs/>
      <w:smallCaps/>
      <w:color w:val="0F4761" w:themeColor="accent1" w:themeShade="BF"/>
      <w:spacing w:val="5"/>
    </w:rPr>
  </w:style>
  <w:style w:type="paragraph" w:styleId="Nagwek">
    <w:name w:val="header"/>
    <w:basedOn w:val="Normalny"/>
    <w:link w:val="NagwekZnak"/>
    <w:uiPriority w:val="99"/>
    <w:unhideWhenUsed/>
    <w:rsid w:val="007D6E38"/>
    <w:pPr>
      <w:tabs>
        <w:tab w:val="center" w:pos="4536"/>
        <w:tab w:val="right" w:pos="9072"/>
      </w:tabs>
      <w:spacing w:after="0" w:line="240" w:lineRule="auto"/>
    </w:pPr>
    <w:rPr>
      <w:kern w:val="0"/>
      <w14:ligatures w14:val="none"/>
    </w:rPr>
  </w:style>
  <w:style w:type="character" w:customStyle="1" w:styleId="NagwekZnak">
    <w:name w:val="Nagłówek Znak"/>
    <w:basedOn w:val="Domylnaczcionkaakapitu"/>
    <w:link w:val="Nagwek"/>
    <w:uiPriority w:val="99"/>
    <w:rsid w:val="007D6E38"/>
    <w:rPr>
      <w:kern w:val="0"/>
      <w14:ligatures w14:val="none"/>
    </w:rPr>
  </w:style>
  <w:style w:type="paragraph" w:styleId="Stopka">
    <w:name w:val="footer"/>
    <w:basedOn w:val="Normalny"/>
    <w:link w:val="StopkaZnak"/>
    <w:uiPriority w:val="99"/>
    <w:unhideWhenUsed/>
    <w:rsid w:val="007D6E38"/>
    <w:pPr>
      <w:tabs>
        <w:tab w:val="center" w:pos="4536"/>
        <w:tab w:val="right" w:pos="9072"/>
      </w:tabs>
      <w:spacing w:after="0" w:line="240" w:lineRule="auto"/>
    </w:pPr>
    <w:rPr>
      <w:kern w:val="0"/>
      <w14:ligatures w14:val="none"/>
    </w:rPr>
  </w:style>
  <w:style w:type="character" w:customStyle="1" w:styleId="StopkaZnak">
    <w:name w:val="Stopka Znak"/>
    <w:basedOn w:val="Domylnaczcionkaakapitu"/>
    <w:link w:val="Stopka"/>
    <w:uiPriority w:val="99"/>
    <w:rsid w:val="007D6E38"/>
    <w:rPr>
      <w:kern w:val="0"/>
      <w14:ligatures w14:val="none"/>
    </w:rPr>
  </w:style>
  <w:style w:type="paragraph" w:styleId="NormalnyWeb">
    <w:name w:val="Normal (Web)"/>
    <w:basedOn w:val="Normalny"/>
    <w:uiPriority w:val="99"/>
    <w:unhideWhenUsed/>
    <w:rsid w:val="007D6E38"/>
    <w:pPr>
      <w:spacing w:before="100" w:beforeAutospacing="1" w:after="100" w:afterAutospacing="1" w:line="240" w:lineRule="auto"/>
    </w:pPr>
    <w:rPr>
      <w:rFonts w:ascii="Calibri" w:hAnsi="Calibri" w:cs="Calibri"/>
      <w:kern w:val="0"/>
    </w:rPr>
  </w:style>
  <w:style w:type="character" w:customStyle="1" w:styleId="markedcontent">
    <w:name w:val="markedcontent"/>
    <w:basedOn w:val="Domylnaczcionkaakapitu"/>
    <w:rsid w:val="007D6E38"/>
  </w:style>
  <w:style w:type="character" w:customStyle="1" w:styleId="Teksttreci">
    <w:name w:val="Tekst treści"/>
    <w:basedOn w:val="Domylnaczcionkaakapitu"/>
    <w:rsid w:val="007D6E38"/>
    <w:rPr>
      <w:rFonts w:ascii="Segoe UI" w:eastAsia="Segoe UI" w:hAnsi="Segoe UI" w:cs="Segoe UI"/>
      <w:b w:val="0"/>
      <w:bCs w:val="0"/>
      <w:i w:val="0"/>
      <w:iCs w:val="0"/>
      <w:smallCaps w:val="0"/>
      <w:strike w:val="0"/>
      <w:color w:val="181818"/>
      <w:spacing w:val="0"/>
      <w:w w:val="100"/>
      <w:position w:val="0"/>
      <w:sz w:val="21"/>
      <w:szCs w:val="21"/>
      <w:u w:val="none"/>
      <w:lang w:val="pl-PL" w:eastAsia="pl-PL" w:bidi="pl-PL"/>
    </w:rPr>
  </w:style>
  <w:style w:type="character" w:customStyle="1" w:styleId="Teksttreci0">
    <w:name w:val="Tekst treści_"/>
    <w:basedOn w:val="Domylnaczcionkaakapitu"/>
    <w:rsid w:val="007D6E38"/>
    <w:rPr>
      <w:rFonts w:ascii="Segoe UI" w:eastAsia="Segoe UI" w:hAnsi="Segoe UI" w:cs="Segoe UI"/>
      <w:b w:val="0"/>
      <w:bCs w:val="0"/>
      <w:i w:val="0"/>
      <w:iCs w:val="0"/>
      <w:smallCaps w:val="0"/>
      <w:strike w:val="0"/>
      <w:sz w:val="21"/>
      <w:szCs w:val="21"/>
      <w:u w:val="none"/>
    </w:rPr>
  </w:style>
  <w:style w:type="paragraph" w:customStyle="1" w:styleId="Default">
    <w:name w:val="Default"/>
    <w:rsid w:val="007D6E3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hgkelc">
    <w:name w:val="hgkelc"/>
    <w:basedOn w:val="Domylnaczcionkaakapitu"/>
    <w:rsid w:val="007D6E38"/>
  </w:style>
  <w:style w:type="paragraph" w:styleId="Bezodstpw">
    <w:name w:val="No Spacing"/>
    <w:uiPriority w:val="1"/>
    <w:qFormat/>
    <w:rsid w:val="007D6E38"/>
    <w:pPr>
      <w:spacing w:after="0" w:line="240" w:lineRule="auto"/>
    </w:pPr>
  </w:style>
  <w:style w:type="character" w:styleId="Hipercze">
    <w:name w:val="Hyperlink"/>
    <w:basedOn w:val="Domylnaczcionkaakapitu"/>
    <w:uiPriority w:val="99"/>
    <w:unhideWhenUsed/>
    <w:rsid w:val="007D6E38"/>
    <w:rPr>
      <w:color w:val="467886" w:themeColor="hyperlink"/>
      <w:u w:val="single"/>
    </w:rPr>
  </w:style>
  <w:style w:type="character" w:customStyle="1" w:styleId="TeksttreciBezpogrubienia">
    <w:name w:val="Tekst treści + Bez pogrubienia"/>
    <w:basedOn w:val="Teksttreci0"/>
    <w:rsid w:val="007D6E38"/>
    <w:rPr>
      <w:rFonts w:ascii="Calibri" w:eastAsia="Calibri" w:hAnsi="Calibri" w:cs="Calibri"/>
      <w:b/>
      <w:bCs/>
      <w:i w:val="0"/>
      <w:iCs w:val="0"/>
      <w:smallCaps w:val="0"/>
      <w:strike w:val="0"/>
      <w:color w:val="000000"/>
      <w:spacing w:val="0"/>
      <w:w w:val="100"/>
      <w:position w:val="0"/>
      <w:sz w:val="21"/>
      <w:szCs w:val="21"/>
      <w:u w:val="none"/>
      <w:shd w:val="clear" w:color="auto" w:fill="FFFFFF"/>
      <w:lang w:val="pl-PL" w:eastAsia="pl-PL" w:bidi="pl-PL"/>
    </w:rPr>
  </w:style>
  <w:style w:type="character" w:customStyle="1" w:styleId="contentpasted0">
    <w:name w:val="contentpasted0"/>
    <w:basedOn w:val="Domylnaczcionkaakapitu"/>
    <w:rsid w:val="007D6E38"/>
  </w:style>
  <w:style w:type="character" w:customStyle="1" w:styleId="Teksttreci9">
    <w:name w:val="Tekst treści (9)_"/>
    <w:basedOn w:val="Domylnaczcionkaakapitu"/>
    <w:link w:val="Teksttreci90"/>
    <w:rsid w:val="007D6E38"/>
    <w:rPr>
      <w:rFonts w:ascii="Times New Roman" w:eastAsia="Times New Roman" w:hAnsi="Times New Roman" w:cs="Times New Roman"/>
      <w:b/>
      <w:bCs/>
      <w:i/>
      <w:iCs/>
      <w:sz w:val="26"/>
      <w:szCs w:val="26"/>
      <w:shd w:val="clear" w:color="auto" w:fill="FFFFFF"/>
    </w:rPr>
  </w:style>
  <w:style w:type="paragraph" w:customStyle="1" w:styleId="Teksttreci90">
    <w:name w:val="Tekst treści (9)"/>
    <w:basedOn w:val="Normalny"/>
    <w:link w:val="Teksttreci9"/>
    <w:rsid w:val="007D6E38"/>
    <w:pPr>
      <w:widowControl w:val="0"/>
      <w:shd w:val="clear" w:color="auto" w:fill="FFFFFF"/>
      <w:spacing w:before="600" w:after="0" w:line="322" w:lineRule="exact"/>
      <w:jc w:val="both"/>
    </w:pPr>
    <w:rPr>
      <w:rFonts w:ascii="Times New Roman" w:eastAsia="Times New Roman" w:hAnsi="Times New Roman" w:cs="Times New Roman"/>
      <w:b/>
      <w:bCs/>
      <w:i/>
      <w:iCs/>
      <w:sz w:val="26"/>
      <w:szCs w:val="26"/>
    </w:rPr>
  </w:style>
  <w:style w:type="paragraph" w:styleId="Tekstprzypisukocowego">
    <w:name w:val="endnote text"/>
    <w:basedOn w:val="Normalny"/>
    <w:link w:val="TekstprzypisukocowegoZnak"/>
    <w:uiPriority w:val="99"/>
    <w:semiHidden/>
    <w:unhideWhenUsed/>
    <w:rsid w:val="007D6E38"/>
    <w:pPr>
      <w:spacing w:after="0" w:line="240" w:lineRule="auto"/>
    </w:pPr>
    <w:rPr>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7D6E38"/>
    <w:rPr>
      <w:kern w:val="0"/>
      <w:sz w:val="20"/>
      <w:szCs w:val="20"/>
      <w14:ligatures w14:val="none"/>
    </w:rPr>
  </w:style>
  <w:style w:type="character" w:styleId="Odwoanieprzypisukocowego">
    <w:name w:val="endnote reference"/>
    <w:basedOn w:val="Domylnaczcionkaakapitu"/>
    <w:uiPriority w:val="99"/>
    <w:semiHidden/>
    <w:unhideWhenUsed/>
    <w:rsid w:val="007D6E38"/>
    <w:rPr>
      <w:vertAlign w:val="superscript"/>
    </w:rPr>
  </w:style>
  <w:style w:type="character" w:customStyle="1" w:styleId="ui-provider">
    <w:name w:val="ui-provider"/>
    <w:basedOn w:val="Domylnaczcionkaakapitu"/>
    <w:rsid w:val="007D6E38"/>
  </w:style>
  <w:style w:type="character" w:styleId="Pogrubienie">
    <w:name w:val="Strong"/>
    <w:basedOn w:val="Domylnaczcionkaakapitu"/>
    <w:uiPriority w:val="22"/>
    <w:qFormat/>
    <w:rsid w:val="007D6E38"/>
    <w:rPr>
      <w:b/>
      <w:bCs/>
    </w:rPr>
  </w:style>
  <w:style w:type="paragraph" w:customStyle="1" w:styleId="text-justify">
    <w:name w:val="text-justify"/>
    <w:basedOn w:val="Normalny"/>
    <w:rsid w:val="007D6E3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Nierozpoznanawzmianka">
    <w:name w:val="Unresolved Mention"/>
    <w:basedOn w:val="Domylnaczcionkaakapitu"/>
    <w:uiPriority w:val="99"/>
    <w:semiHidden/>
    <w:unhideWhenUsed/>
    <w:rsid w:val="007D6E38"/>
    <w:rPr>
      <w:color w:val="605E5C"/>
      <w:shd w:val="clear" w:color="auto" w:fill="E1DFDD"/>
    </w:rPr>
  </w:style>
  <w:style w:type="paragraph" w:customStyle="1" w:styleId="p1">
    <w:name w:val="p1"/>
    <w:basedOn w:val="Normalny"/>
    <w:rsid w:val="007D6E38"/>
    <w:pPr>
      <w:spacing w:after="0" w:line="240" w:lineRule="auto"/>
    </w:pPr>
    <w:rPr>
      <w:rFonts w:ascii="Helvetica" w:hAnsi="Helvetica" w:cs="Times New Roman"/>
      <w:kern w:val="0"/>
      <w:sz w:val="15"/>
      <w:szCs w:val="15"/>
      <w:lang w:eastAsia="pl-PL"/>
      <w14:ligatures w14:val="none"/>
    </w:rPr>
  </w:style>
  <w:style w:type="paragraph" w:styleId="Poprawka">
    <w:name w:val="Revision"/>
    <w:hidden/>
    <w:uiPriority w:val="99"/>
    <w:semiHidden/>
    <w:rsid w:val="00AF6775"/>
    <w:pPr>
      <w:spacing w:after="0" w:line="240" w:lineRule="auto"/>
    </w:pPr>
  </w:style>
  <w:style w:type="character" w:styleId="Wzmianka">
    <w:name w:val="Mention"/>
    <w:basedOn w:val="Domylnaczcionkaakapitu"/>
    <w:uiPriority w:val="99"/>
    <w:unhideWhenUsed/>
    <w:rsid w:val="00C54B13"/>
    <w:rPr>
      <w:color w:val="2B579A"/>
      <w:shd w:val="clear" w:color="auto" w:fill="E1DFDD"/>
    </w:rPr>
  </w:style>
  <w:style w:type="paragraph" w:styleId="Tekstprzypisudolnego">
    <w:name w:val="footnote text"/>
    <w:basedOn w:val="Normalny"/>
    <w:link w:val="TekstprzypisudolnegoZnak"/>
    <w:uiPriority w:val="99"/>
    <w:semiHidden/>
    <w:unhideWhenUsed/>
    <w:rsid w:val="00042330"/>
    <w:pPr>
      <w:spacing w:after="200" w:line="276" w:lineRule="auto"/>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042330"/>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042330"/>
    <w:rPr>
      <w:vertAlign w:val="superscript"/>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A61579"/>
    <w:rPr>
      <w:b/>
      <w:bCs/>
    </w:rPr>
  </w:style>
  <w:style w:type="character" w:customStyle="1" w:styleId="TematkomentarzaZnak">
    <w:name w:val="Temat komentarza Znak"/>
    <w:basedOn w:val="TekstkomentarzaZnak"/>
    <w:link w:val="Tematkomentarza"/>
    <w:uiPriority w:val="99"/>
    <w:semiHidden/>
    <w:rsid w:val="00A61579"/>
    <w:rPr>
      <w:b/>
      <w:bCs/>
      <w:sz w:val="20"/>
      <w:szCs w:val="20"/>
    </w:rPr>
  </w:style>
  <w:style w:type="character" w:customStyle="1" w:styleId="CommentReference1">
    <w:name w:val="Comment Reference1"/>
    <w:basedOn w:val="Domylnaczcionkaakapitu"/>
    <w:uiPriority w:val="99"/>
    <w:semiHidden/>
    <w:unhideWhenUsed/>
    <w:rsid w:val="00960FEF"/>
    <w:rPr>
      <w:sz w:val="16"/>
      <w:szCs w:val="16"/>
    </w:rPr>
  </w:style>
  <w:style w:type="paragraph" w:customStyle="1" w:styleId="CommentText1">
    <w:name w:val="Comment Text1"/>
    <w:basedOn w:val="Normalny"/>
    <w:uiPriority w:val="99"/>
    <w:unhideWhenUsed/>
    <w:rsid w:val="00960FEF"/>
    <w:pPr>
      <w:spacing w:line="240" w:lineRule="auto"/>
    </w:pPr>
    <w:rPr>
      <w:kern w:val="0"/>
      <w:sz w:val="20"/>
      <w:szCs w:val="20"/>
      <w14:ligatures w14:val="none"/>
    </w:rPr>
  </w:style>
  <w:style w:type="paragraph" w:customStyle="1" w:styleId="CommentSubject1">
    <w:name w:val="Comment Subject1"/>
    <w:basedOn w:val="CommentText1"/>
    <w:next w:val="CommentText1"/>
    <w:uiPriority w:val="99"/>
    <w:semiHidden/>
    <w:unhideWhenUsed/>
    <w:rsid w:val="00960F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69">
      <w:bodyDiv w:val="1"/>
      <w:marLeft w:val="0"/>
      <w:marRight w:val="0"/>
      <w:marTop w:val="0"/>
      <w:marBottom w:val="0"/>
      <w:divBdr>
        <w:top w:val="none" w:sz="0" w:space="0" w:color="auto"/>
        <w:left w:val="none" w:sz="0" w:space="0" w:color="auto"/>
        <w:bottom w:val="none" w:sz="0" w:space="0" w:color="auto"/>
        <w:right w:val="none" w:sz="0" w:space="0" w:color="auto"/>
      </w:divBdr>
    </w:div>
    <w:div w:id="2559841">
      <w:bodyDiv w:val="1"/>
      <w:marLeft w:val="0"/>
      <w:marRight w:val="0"/>
      <w:marTop w:val="0"/>
      <w:marBottom w:val="0"/>
      <w:divBdr>
        <w:top w:val="none" w:sz="0" w:space="0" w:color="auto"/>
        <w:left w:val="none" w:sz="0" w:space="0" w:color="auto"/>
        <w:bottom w:val="none" w:sz="0" w:space="0" w:color="auto"/>
        <w:right w:val="none" w:sz="0" w:space="0" w:color="auto"/>
      </w:divBdr>
    </w:div>
    <w:div w:id="7875659">
      <w:bodyDiv w:val="1"/>
      <w:marLeft w:val="0"/>
      <w:marRight w:val="0"/>
      <w:marTop w:val="0"/>
      <w:marBottom w:val="0"/>
      <w:divBdr>
        <w:top w:val="none" w:sz="0" w:space="0" w:color="auto"/>
        <w:left w:val="none" w:sz="0" w:space="0" w:color="auto"/>
        <w:bottom w:val="none" w:sz="0" w:space="0" w:color="auto"/>
        <w:right w:val="none" w:sz="0" w:space="0" w:color="auto"/>
      </w:divBdr>
    </w:div>
    <w:div w:id="15229746">
      <w:bodyDiv w:val="1"/>
      <w:marLeft w:val="0"/>
      <w:marRight w:val="0"/>
      <w:marTop w:val="0"/>
      <w:marBottom w:val="0"/>
      <w:divBdr>
        <w:top w:val="none" w:sz="0" w:space="0" w:color="auto"/>
        <w:left w:val="none" w:sz="0" w:space="0" w:color="auto"/>
        <w:bottom w:val="none" w:sz="0" w:space="0" w:color="auto"/>
        <w:right w:val="none" w:sz="0" w:space="0" w:color="auto"/>
      </w:divBdr>
    </w:div>
    <w:div w:id="45111119">
      <w:bodyDiv w:val="1"/>
      <w:marLeft w:val="0"/>
      <w:marRight w:val="0"/>
      <w:marTop w:val="0"/>
      <w:marBottom w:val="0"/>
      <w:divBdr>
        <w:top w:val="none" w:sz="0" w:space="0" w:color="auto"/>
        <w:left w:val="none" w:sz="0" w:space="0" w:color="auto"/>
        <w:bottom w:val="none" w:sz="0" w:space="0" w:color="auto"/>
        <w:right w:val="none" w:sz="0" w:space="0" w:color="auto"/>
      </w:divBdr>
    </w:div>
    <w:div w:id="45567783">
      <w:bodyDiv w:val="1"/>
      <w:marLeft w:val="0"/>
      <w:marRight w:val="0"/>
      <w:marTop w:val="0"/>
      <w:marBottom w:val="0"/>
      <w:divBdr>
        <w:top w:val="none" w:sz="0" w:space="0" w:color="auto"/>
        <w:left w:val="none" w:sz="0" w:space="0" w:color="auto"/>
        <w:bottom w:val="none" w:sz="0" w:space="0" w:color="auto"/>
        <w:right w:val="none" w:sz="0" w:space="0" w:color="auto"/>
      </w:divBdr>
    </w:div>
    <w:div w:id="50740455">
      <w:bodyDiv w:val="1"/>
      <w:marLeft w:val="0"/>
      <w:marRight w:val="0"/>
      <w:marTop w:val="0"/>
      <w:marBottom w:val="0"/>
      <w:divBdr>
        <w:top w:val="none" w:sz="0" w:space="0" w:color="auto"/>
        <w:left w:val="none" w:sz="0" w:space="0" w:color="auto"/>
        <w:bottom w:val="none" w:sz="0" w:space="0" w:color="auto"/>
        <w:right w:val="none" w:sz="0" w:space="0" w:color="auto"/>
      </w:divBdr>
    </w:div>
    <w:div w:id="77022864">
      <w:bodyDiv w:val="1"/>
      <w:marLeft w:val="0"/>
      <w:marRight w:val="0"/>
      <w:marTop w:val="0"/>
      <w:marBottom w:val="0"/>
      <w:divBdr>
        <w:top w:val="none" w:sz="0" w:space="0" w:color="auto"/>
        <w:left w:val="none" w:sz="0" w:space="0" w:color="auto"/>
        <w:bottom w:val="none" w:sz="0" w:space="0" w:color="auto"/>
        <w:right w:val="none" w:sz="0" w:space="0" w:color="auto"/>
      </w:divBdr>
    </w:div>
    <w:div w:id="94518695">
      <w:bodyDiv w:val="1"/>
      <w:marLeft w:val="0"/>
      <w:marRight w:val="0"/>
      <w:marTop w:val="0"/>
      <w:marBottom w:val="0"/>
      <w:divBdr>
        <w:top w:val="none" w:sz="0" w:space="0" w:color="auto"/>
        <w:left w:val="none" w:sz="0" w:space="0" w:color="auto"/>
        <w:bottom w:val="none" w:sz="0" w:space="0" w:color="auto"/>
        <w:right w:val="none" w:sz="0" w:space="0" w:color="auto"/>
      </w:divBdr>
    </w:div>
    <w:div w:id="100145225">
      <w:bodyDiv w:val="1"/>
      <w:marLeft w:val="0"/>
      <w:marRight w:val="0"/>
      <w:marTop w:val="0"/>
      <w:marBottom w:val="0"/>
      <w:divBdr>
        <w:top w:val="none" w:sz="0" w:space="0" w:color="auto"/>
        <w:left w:val="none" w:sz="0" w:space="0" w:color="auto"/>
        <w:bottom w:val="none" w:sz="0" w:space="0" w:color="auto"/>
        <w:right w:val="none" w:sz="0" w:space="0" w:color="auto"/>
      </w:divBdr>
    </w:div>
    <w:div w:id="121003931">
      <w:bodyDiv w:val="1"/>
      <w:marLeft w:val="0"/>
      <w:marRight w:val="0"/>
      <w:marTop w:val="0"/>
      <w:marBottom w:val="0"/>
      <w:divBdr>
        <w:top w:val="none" w:sz="0" w:space="0" w:color="auto"/>
        <w:left w:val="none" w:sz="0" w:space="0" w:color="auto"/>
        <w:bottom w:val="none" w:sz="0" w:space="0" w:color="auto"/>
        <w:right w:val="none" w:sz="0" w:space="0" w:color="auto"/>
      </w:divBdr>
    </w:div>
    <w:div w:id="127431731">
      <w:bodyDiv w:val="1"/>
      <w:marLeft w:val="0"/>
      <w:marRight w:val="0"/>
      <w:marTop w:val="0"/>
      <w:marBottom w:val="0"/>
      <w:divBdr>
        <w:top w:val="none" w:sz="0" w:space="0" w:color="auto"/>
        <w:left w:val="none" w:sz="0" w:space="0" w:color="auto"/>
        <w:bottom w:val="none" w:sz="0" w:space="0" w:color="auto"/>
        <w:right w:val="none" w:sz="0" w:space="0" w:color="auto"/>
      </w:divBdr>
    </w:div>
    <w:div w:id="156188242">
      <w:bodyDiv w:val="1"/>
      <w:marLeft w:val="0"/>
      <w:marRight w:val="0"/>
      <w:marTop w:val="0"/>
      <w:marBottom w:val="0"/>
      <w:divBdr>
        <w:top w:val="none" w:sz="0" w:space="0" w:color="auto"/>
        <w:left w:val="none" w:sz="0" w:space="0" w:color="auto"/>
        <w:bottom w:val="none" w:sz="0" w:space="0" w:color="auto"/>
        <w:right w:val="none" w:sz="0" w:space="0" w:color="auto"/>
      </w:divBdr>
    </w:div>
    <w:div w:id="164370304">
      <w:bodyDiv w:val="1"/>
      <w:marLeft w:val="0"/>
      <w:marRight w:val="0"/>
      <w:marTop w:val="0"/>
      <w:marBottom w:val="0"/>
      <w:divBdr>
        <w:top w:val="none" w:sz="0" w:space="0" w:color="auto"/>
        <w:left w:val="none" w:sz="0" w:space="0" w:color="auto"/>
        <w:bottom w:val="none" w:sz="0" w:space="0" w:color="auto"/>
        <w:right w:val="none" w:sz="0" w:space="0" w:color="auto"/>
      </w:divBdr>
    </w:div>
    <w:div w:id="165443364">
      <w:bodyDiv w:val="1"/>
      <w:marLeft w:val="0"/>
      <w:marRight w:val="0"/>
      <w:marTop w:val="0"/>
      <w:marBottom w:val="0"/>
      <w:divBdr>
        <w:top w:val="none" w:sz="0" w:space="0" w:color="auto"/>
        <w:left w:val="none" w:sz="0" w:space="0" w:color="auto"/>
        <w:bottom w:val="none" w:sz="0" w:space="0" w:color="auto"/>
        <w:right w:val="none" w:sz="0" w:space="0" w:color="auto"/>
      </w:divBdr>
    </w:div>
    <w:div w:id="180095303">
      <w:bodyDiv w:val="1"/>
      <w:marLeft w:val="0"/>
      <w:marRight w:val="0"/>
      <w:marTop w:val="0"/>
      <w:marBottom w:val="0"/>
      <w:divBdr>
        <w:top w:val="none" w:sz="0" w:space="0" w:color="auto"/>
        <w:left w:val="none" w:sz="0" w:space="0" w:color="auto"/>
        <w:bottom w:val="none" w:sz="0" w:space="0" w:color="auto"/>
        <w:right w:val="none" w:sz="0" w:space="0" w:color="auto"/>
      </w:divBdr>
    </w:div>
    <w:div w:id="202518637">
      <w:bodyDiv w:val="1"/>
      <w:marLeft w:val="0"/>
      <w:marRight w:val="0"/>
      <w:marTop w:val="0"/>
      <w:marBottom w:val="0"/>
      <w:divBdr>
        <w:top w:val="none" w:sz="0" w:space="0" w:color="auto"/>
        <w:left w:val="none" w:sz="0" w:space="0" w:color="auto"/>
        <w:bottom w:val="none" w:sz="0" w:space="0" w:color="auto"/>
        <w:right w:val="none" w:sz="0" w:space="0" w:color="auto"/>
      </w:divBdr>
    </w:div>
    <w:div w:id="215430916">
      <w:bodyDiv w:val="1"/>
      <w:marLeft w:val="0"/>
      <w:marRight w:val="0"/>
      <w:marTop w:val="0"/>
      <w:marBottom w:val="0"/>
      <w:divBdr>
        <w:top w:val="none" w:sz="0" w:space="0" w:color="auto"/>
        <w:left w:val="none" w:sz="0" w:space="0" w:color="auto"/>
        <w:bottom w:val="none" w:sz="0" w:space="0" w:color="auto"/>
        <w:right w:val="none" w:sz="0" w:space="0" w:color="auto"/>
      </w:divBdr>
    </w:div>
    <w:div w:id="226574256">
      <w:bodyDiv w:val="1"/>
      <w:marLeft w:val="0"/>
      <w:marRight w:val="0"/>
      <w:marTop w:val="0"/>
      <w:marBottom w:val="0"/>
      <w:divBdr>
        <w:top w:val="none" w:sz="0" w:space="0" w:color="auto"/>
        <w:left w:val="none" w:sz="0" w:space="0" w:color="auto"/>
        <w:bottom w:val="none" w:sz="0" w:space="0" w:color="auto"/>
        <w:right w:val="none" w:sz="0" w:space="0" w:color="auto"/>
      </w:divBdr>
    </w:div>
    <w:div w:id="230701142">
      <w:bodyDiv w:val="1"/>
      <w:marLeft w:val="0"/>
      <w:marRight w:val="0"/>
      <w:marTop w:val="0"/>
      <w:marBottom w:val="0"/>
      <w:divBdr>
        <w:top w:val="none" w:sz="0" w:space="0" w:color="auto"/>
        <w:left w:val="none" w:sz="0" w:space="0" w:color="auto"/>
        <w:bottom w:val="none" w:sz="0" w:space="0" w:color="auto"/>
        <w:right w:val="none" w:sz="0" w:space="0" w:color="auto"/>
      </w:divBdr>
    </w:div>
    <w:div w:id="231283579">
      <w:bodyDiv w:val="1"/>
      <w:marLeft w:val="0"/>
      <w:marRight w:val="0"/>
      <w:marTop w:val="0"/>
      <w:marBottom w:val="0"/>
      <w:divBdr>
        <w:top w:val="none" w:sz="0" w:space="0" w:color="auto"/>
        <w:left w:val="none" w:sz="0" w:space="0" w:color="auto"/>
        <w:bottom w:val="none" w:sz="0" w:space="0" w:color="auto"/>
        <w:right w:val="none" w:sz="0" w:space="0" w:color="auto"/>
      </w:divBdr>
    </w:div>
    <w:div w:id="242301733">
      <w:bodyDiv w:val="1"/>
      <w:marLeft w:val="0"/>
      <w:marRight w:val="0"/>
      <w:marTop w:val="0"/>
      <w:marBottom w:val="0"/>
      <w:divBdr>
        <w:top w:val="none" w:sz="0" w:space="0" w:color="auto"/>
        <w:left w:val="none" w:sz="0" w:space="0" w:color="auto"/>
        <w:bottom w:val="none" w:sz="0" w:space="0" w:color="auto"/>
        <w:right w:val="none" w:sz="0" w:space="0" w:color="auto"/>
      </w:divBdr>
    </w:div>
    <w:div w:id="242833627">
      <w:bodyDiv w:val="1"/>
      <w:marLeft w:val="0"/>
      <w:marRight w:val="0"/>
      <w:marTop w:val="0"/>
      <w:marBottom w:val="0"/>
      <w:divBdr>
        <w:top w:val="none" w:sz="0" w:space="0" w:color="auto"/>
        <w:left w:val="none" w:sz="0" w:space="0" w:color="auto"/>
        <w:bottom w:val="none" w:sz="0" w:space="0" w:color="auto"/>
        <w:right w:val="none" w:sz="0" w:space="0" w:color="auto"/>
      </w:divBdr>
    </w:div>
    <w:div w:id="315453463">
      <w:bodyDiv w:val="1"/>
      <w:marLeft w:val="0"/>
      <w:marRight w:val="0"/>
      <w:marTop w:val="0"/>
      <w:marBottom w:val="0"/>
      <w:divBdr>
        <w:top w:val="none" w:sz="0" w:space="0" w:color="auto"/>
        <w:left w:val="none" w:sz="0" w:space="0" w:color="auto"/>
        <w:bottom w:val="none" w:sz="0" w:space="0" w:color="auto"/>
        <w:right w:val="none" w:sz="0" w:space="0" w:color="auto"/>
      </w:divBdr>
    </w:div>
    <w:div w:id="316882635">
      <w:bodyDiv w:val="1"/>
      <w:marLeft w:val="0"/>
      <w:marRight w:val="0"/>
      <w:marTop w:val="0"/>
      <w:marBottom w:val="0"/>
      <w:divBdr>
        <w:top w:val="none" w:sz="0" w:space="0" w:color="auto"/>
        <w:left w:val="none" w:sz="0" w:space="0" w:color="auto"/>
        <w:bottom w:val="none" w:sz="0" w:space="0" w:color="auto"/>
        <w:right w:val="none" w:sz="0" w:space="0" w:color="auto"/>
      </w:divBdr>
    </w:div>
    <w:div w:id="327902275">
      <w:bodyDiv w:val="1"/>
      <w:marLeft w:val="0"/>
      <w:marRight w:val="0"/>
      <w:marTop w:val="0"/>
      <w:marBottom w:val="0"/>
      <w:divBdr>
        <w:top w:val="none" w:sz="0" w:space="0" w:color="auto"/>
        <w:left w:val="none" w:sz="0" w:space="0" w:color="auto"/>
        <w:bottom w:val="none" w:sz="0" w:space="0" w:color="auto"/>
        <w:right w:val="none" w:sz="0" w:space="0" w:color="auto"/>
      </w:divBdr>
    </w:div>
    <w:div w:id="328364998">
      <w:bodyDiv w:val="1"/>
      <w:marLeft w:val="0"/>
      <w:marRight w:val="0"/>
      <w:marTop w:val="0"/>
      <w:marBottom w:val="0"/>
      <w:divBdr>
        <w:top w:val="none" w:sz="0" w:space="0" w:color="auto"/>
        <w:left w:val="none" w:sz="0" w:space="0" w:color="auto"/>
        <w:bottom w:val="none" w:sz="0" w:space="0" w:color="auto"/>
        <w:right w:val="none" w:sz="0" w:space="0" w:color="auto"/>
      </w:divBdr>
    </w:div>
    <w:div w:id="340591727">
      <w:bodyDiv w:val="1"/>
      <w:marLeft w:val="0"/>
      <w:marRight w:val="0"/>
      <w:marTop w:val="0"/>
      <w:marBottom w:val="0"/>
      <w:divBdr>
        <w:top w:val="none" w:sz="0" w:space="0" w:color="auto"/>
        <w:left w:val="none" w:sz="0" w:space="0" w:color="auto"/>
        <w:bottom w:val="none" w:sz="0" w:space="0" w:color="auto"/>
        <w:right w:val="none" w:sz="0" w:space="0" w:color="auto"/>
      </w:divBdr>
    </w:div>
    <w:div w:id="340594222">
      <w:bodyDiv w:val="1"/>
      <w:marLeft w:val="0"/>
      <w:marRight w:val="0"/>
      <w:marTop w:val="0"/>
      <w:marBottom w:val="0"/>
      <w:divBdr>
        <w:top w:val="none" w:sz="0" w:space="0" w:color="auto"/>
        <w:left w:val="none" w:sz="0" w:space="0" w:color="auto"/>
        <w:bottom w:val="none" w:sz="0" w:space="0" w:color="auto"/>
        <w:right w:val="none" w:sz="0" w:space="0" w:color="auto"/>
      </w:divBdr>
    </w:div>
    <w:div w:id="352267369">
      <w:bodyDiv w:val="1"/>
      <w:marLeft w:val="0"/>
      <w:marRight w:val="0"/>
      <w:marTop w:val="0"/>
      <w:marBottom w:val="0"/>
      <w:divBdr>
        <w:top w:val="none" w:sz="0" w:space="0" w:color="auto"/>
        <w:left w:val="none" w:sz="0" w:space="0" w:color="auto"/>
        <w:bottom w:val="none" w:sz="0" w:space="0" w:color="auto"/>
        <w:right w:val="none" w:sz="0" w:space="0" w:color="auto"/>
      </w:divBdr>
    </w:div>
    <w:div w:id="389155921">
      <w:bodyDiv w:val="1"/>
      <w:marLeft w:val="0"/>
      <w:marRight w:val="0"/>
      <w:marTop w:val="0"/>
      <w:marBottom w:val="0"/>
      <w:divBdr>
        <w:top w:val="none" w:sz="0" w:space="0" w:color="auto"/>
        <w:left w:val="none" w:sz="0" w:space="0" w:color="auto"/>
        <w:bottom w:val="none" w:sz="0" w:space="0" w:color="auto"/>
        <w:right w:val="none" w:sz="0" w:space="0" w:color="auto"/>
      </w:divBdr>
    </w:div>
    <w:div w:id="391007131">
      <w:bodyDiv w:val="1"/>
      <w:marLeft w:val="0"/>
      <w:marRight w:val="0"/>
      <w:marTop w:val="0"/>
      <w:marBottom w:val="0"/>
      <w:divBdr>
        <w:top w:val="none" w:sz="0" w:space="0" w:color="auto"/>
        <w:left w:val="none" w:sz="0" w:space="0" w:color="auto"/>
        <w:bottom w:val="none" w:sz="0" w:space="0" w:color="auto"/>
        <w:right w:val="none" w:sz="0" w:space="0" w:color="auto"/>
      </w:divBdr>
    </w:div>
    <w:div w:id="395855388">
      <w:bodyDiv w:val="1"/>
      <w:marLeft w:val="0"/>
      <w:marRight w:val="0"/>
      <w:marTop w:val="0"/>
      <w:marBottom w:val="0"/>
      <w:divBdr>
        <w:top w:val="none" w:sz="0" w:space="0" w:color="auto"/>
        <w:left w:val="none" w:sz="0" w:space="0" w:color="auto"/>
        <w:bottom w:val="none" w:sz="0" w:space="0" w:color="auto"/>
        <w:right w:val="none" w:sz="0" w:space="0" w:color="auto"/>
      </w:divBdr>
    </w:div>
    <w:div w:id="401296694">
      <w:bodyDiv w:val="1"/>
      <w:marLeft w:val="0"/>
      <w:marRight w:val="0"/>
      <w:marTop w:val="0"/>
      <w:marBottom w:val="0"/>
      <w:divBdr>
        <w:top w:val="none" w:sz="0" w:space="0" w:color="auto"/>
        <w:left w:val="none" w:sz="0" w:space="0" w:color="auto"/>
        <w:bottom w:val="none" w:sz="0" w:space="0" w:color="auto"/>
        <w:right w:val="none" w:sz="0" w:space="0" w:color="auto"/>
      </w:divBdr>
    </w:div>
    <w:div w:id="411391490">
      <w:bodyDiv w:val="1"/>
      <w:marLeft w:val="0"/>
      <w:marRight w:val="0"/>
      <w:marTop w:val="0"/>
      <w:marBottom w:val="0"/>
      <w:divBdr>
        <w:top w:val="none" w:sz="0" w:space="0" w:color="auto"/>
        <w:left w:val="none" w:sz="0" w:space="0" w:color="auto"/>
        <w:bottom w:val="none" w:sz="0" w:space="0" w:color="auto"/>
        <w:right w:val="none" w:sz="0" w:space="0" w:color="auto"/>
      </w:divBdr>
    </w:div>
    <w:div w:id="414938094">
      <w:bodyDiv w:val="1"/>
      <w:marLeft w:val="0"/>
      <w:marRight w:val="0"/>
      <w:marTop w:val="0"/>
      <w:marBottom w:val="0"/>
      <w:divBdr>
        <w:top w:val="none" w:sz="0" w:space="0" w:color="auto"/>
        <w:left w:val="none" w:sz="0" w:space="0" w:color="auto"/>
        <w:bottom w:val="none" w:sz="0" w:space="0" w:color="auto"/>
        <w:right w:val="none" w:sz="0" w:space="0" w:color="auto"/>
      </w:divBdr>
    </w:div>
    <w:div w:id="431710733">
      <w:bodyDiv w:val="1"/>
      <w:marLeft w:val="0"/>
      <w:marRight w:val="0"/>
      <w:marTop w:val="0"/>
      <w:marBottom w:val="0"/>
      <w:divBdr>
        <w:top w:val="none" w:sz="0" w:space="0" w:color="auto"/>
        <w:left w:val="none" w:sz="0" w:space="0" w:color="auto"/>
        <w:bottom w:val="none" w:sz="0" w:space="0" w:color="auto"/>
        <w:right w:val="none" w:sz="0" w:space="0" w:color="auto"/>
      </w:divBdr>
    </w:div>
    <w:div w:id="436874584">
      <w:bodyDiv w:val="1"/>
      <w:marLeft w:val="0"/>
      <w:marRight w:val="0"/>
      <w:marTop w:val="0"/>
      <w:marBottom w:val="0"/>
      <w:divBdr>
        <w:top w:val="none" w:sz="0" w:space="0" w:color="auto"/>
        <w:left w:val="none" w:sz="0" w:space="0" w:color="auto"/>
        <w:bottom w:val="none" w:sz="0" w:space="0" w:color="auto"/>
        <w:right w:val="none" w:sz="0" w:space="0" w:color="auto"/>
      </w:divBdr>
    </w:div>
    <w:div w:id="439566564">
      <w:bodyDiv w:val="1"/>
      <w:marLeft w:val="0"/>
      <w:marRight w:val="0"/>
      <w:marTop w:val="0"/>
      <w:marBottom w:val="0"/>
      <w:divBdr>
        <w:top w:val="none" w:sz="0" w:space="0" w:color="auto"/>
        <w:left w:val="none" w:sz="0" w:space="0" w:color="auto"/>
        <w:bottom w:val="none" w:sz="0" w:space="0" w:color="auto"/>
        <w:right w:val="none" w:sz="0" w:space="0" w:color="auto"/>
      </w:divBdr>
    </w:div>
    <w:div w:id="454369509">
      <w:bodyDiv w:val="1"/>
      <w:marLeft w:val="0"/>
      <w:marRight w:val="0"/>
      <w:marTop w:val="0"/>
      <w:marBottom w:val="0"/>
      <w:divBdr>
        <w:top w:val="none" w:sz="0" w:space="0" w:color="auto"/>
        <w:left w:val="none" w:sz="0" w:space="0" w:color="auto"/>
        <w:bottom w:val="none" w:sz="0" w:space="0" w:color="auto"/>
        <w:right w:val="none" w:sz="0" w:space="0" w:color="auto"/>
      </w:divBdr>
    </w:div>
    <w:div w:id="501970230">
      <w:bodyDiv w:val="1"/>
      <w:marLeft w:val="0"/>
      <w:marRight w:val="0"/>
      <w:marTop w:val="0"/>
      <w:marBottom w:val="0"/>
      <w:divBdr>
        <w:top w:val="none" w:sz="0" w:space="0" w:color="auto"/>
        <w:left w:val="none" w:sz="0" w:space="0" w:color="auto"/>
        <w:bottom w:val="none" w:sz="0" w:space="0" w:color="auto"/>
        <w:right w:val="none" w:sz="0" w:space="0" w:color="auto"/>
      </w:divBdr>
    </w:div>
    <w:div w:id="572854264">
      <w:bodyDiv w:val="1"/>
      <w:marLeft w:val="0"/>
      <w:marRight w:val="0"/>
      <w:marTop w:val="0"/>
      <w:marBottom w:val="0"/>
      <w:divBdr>
        <w:top w:val="none" w:sz="0" w:space="0" w:color="auto"/>
        <w:left w:val="none" w:sz="0" w:space="0" w:color="auto"/>
        <w:bottom w:val="none" w:sz="0" w:space="0" w:color="auto"/>
        <w:right w:val="none" w:sz="0" w:space="0" w:color="auto"/>
      </w:divBdr>
    </w:div>
    <w:div w:id="582027678">
      <w:bodyDiv w:val="1"/>
      <w:marLeft w:val="0"/>
      <w:marRight w:val="0"/>
      <w:marTop w:val="0"/>
      <w:marBottom w:val="0"/>
      <w:divBdr>
        <w:top w:val="none" w:sz="0" w:space="0" w:color="auto"/>
        <w:left w:val="none" w:sz="0" w:space="0" w:color="auto"/>
        <w:bottom w:val="none" w:sz="0" w:space="0" w:color="auto"/>
        <w:right w:val="none" w:sz="0" w:space="0" w:color="auto"/>
      </w:divBdr>
    </w:div>
    <w:div w:id="588462966">
      <w:bodyDiv w:val="1"/>
      <w:marLeft w:val="0"/>
      <w:marRight w:val="0"/>
      <w:marTop w:val="0"/>
      <w:marBottom w:val="0"/>
      <w:divBdr>
        <w:top w:val="none" w:sz="0" w:space="0" w:color="auto"/>
        <w:left w:val="none" w:sz="0" w:space="0" w:color="auto"/>
        <w:bottom w:val="none" w:sz="0" w:space="0" w:color="auto"/>
        <w:right w:val="none" w:sz="0" w:space="0" w:color="auto"/>
      </w:divBdr>
    </w:div>
    <w:div w:id="589120552">
      <w:bodyDiv w:val="1"/>
      <w:marLeft w:val="0"/>
      <w:marRight w:val="0"/>
      <w:marTop w:val="0"/>
      <w:marBottom w:val="0"/>
      <w:divBdr>
        <w:top w:val="none" w:sz="0" w:space="0" w:color="auto"/>
        <w:left w:val="none" w:sz="0" w:space="0" w:color="auto"/>
        <w:bottom w:val="none" w:sz="0" w:space="0" w:color="auto"/>
        <w:right w:val="none" w:sz="0" w:space="0" w:color="auto"/>
      </w:divBdr>
    </w:div>
    <w:div w:id="599415111">
      <w:bodyDiv w:val="1"/>
      <w:marLeft w:val="0"/>
      <w:marRight w:val="0"/>
      <w:marTop w:val="0"/>
      <w:marBottom w:val="0"/>
      <w:divBdr>
        <w:top w:val="none" w:sz="0" w:space="0" w:color="auto"/>
        <w:left w:val="none" w:sz="0" w:space="0" w:color="auto"/>
        <w:bottom w:val="none" w:sz="0" w:space="0" w:color="auto"/>
        <w:right w:val="none" w:sz="0" w:space="0" w:color="auto"/>
      </w:divBdr>
    </w:div>
    <w:div w:id="613174614">
      <w:bodyDiv w:val="1"/>
      <w:marLeft w:val="0"/>
      <w:marRight w:val="0"/>
      <w:marTop w:val="0"/>
      <w:marBottom w:val="0"/>
      <w:divBdr>
        <w:top w:val="none" w:sz="0" w:space="0" w:color="auto"/>
        <w:left w:val="none" w:sz="0" w:space="0" w:color="auto"/>
        <w:bottom w:val="none" w:sz="0" w:space="0" w:color="auto"/>
        <w:right w:val="none" w:sz="0" w:space="0" w:color="auto"/>
      </w:divBdr>
    </w:div>
    <w:div w:id="634992855">
      <w:bodyDiv w:val="1"/>
      <w:marLeft w:val="0"/>
      <w:marRight w:val="0"/>
      <w:marTop w:val="0"/>
      <w:marBottom w:val="0"/>
      <w:divBdr>
        <w:top w:val="none" w:sz="0" w:space="0" w:color="auto"/>
        <w:left w:val="none" w:sz="0" w:space="0" w:color="auto"/>
        <w:bottom w:val="none" w:sz="0" w:space="0" w:color="auto"/>
        <w:right w:val="none" w:sz="0" w:space="0" w:color="auto"/>
      </w:divBdr>
    </w:div>
    <w:div w:id="652760899">
      <w:bodyDiv w:val="1"/>
      <w:marLeft w:val="0"/>
      <w:marRight w:val="0"/>
      <w:marTop w:val="0"/>
      <w:marBottom w:val="0"/>
      <w:divBdr>
        <w:top w:val="none" w:sz="0" w:space="0" w:color="auto"/>
        <w:left w:val="none" w:sz="0" w:space="0" w:color="auto"/>
        <w:bottom w:val="none" w:sz="0" w:space="0" w:color="auto"/>
        <w:right w:val="none" w:sz="0" w:space="0" w:color="auto"/>
      </w:divBdr>
    </w:div>
    <w:div w:id="652830752">
      <w:bodyDiv w:val="1"/>
      <w:marLeft w:val="0"/>
      <w:marRight w:val="0"/>
      <w:marTop w:val="0"/>
      <w:marBottom w:val="0"/>
      <w:divBdr>
        <w:top w:val="none" w:sz="0" w:space="0" w:color="auto"/>
        <w:left w:val="none" w:sz="0" w:space="0" w:color="auto"/>
        <w:bottom w:val="none" w:sz="0" w:space="0" w:color="auto"/>
        <w:right w:val="none" w:sz="0" w:space="0" w:color="auto"/>
      </w:divBdr>
    </w:div>
    <w:div w:id="657808763">
      <w:bodyDiv w:val="1"/>
      <w:marLeft w:val="0"/>
      <w:marRight w:val="0"/>
      <w:marTop w:val="0"/>
      <w:marBottom w:val="0"/>
      <w:divBdr>
        <w:top w:val="none" w:sz="0" w:space="0" w:color="auto"/>
        <w:left w:val="none" w:sz="0" w:space="0" w:color="auto"/>
        <w:bottom w:val="none" w:sz="0" w:space="0" w:color="auto"/>
        <w:right w:val="none" w:sz="0" w:space="0" w:color="auto"/>
      </w:divBdr>
    </w:div>
    <w:div w:id="677732999">
      <w:bodyDiv w:val="1"/>
      <w:marLeft w:val="0"/>
      <w:marRight w:val="0"/>
      <w:marTop w:val="0"/>
      <w:marBottom w:val="0"/>
      <w:divBdr>
        <w:top w:val="none" w:sz="0" w:space="0" w:color="auto"/>
        <w:left w:val="none" w:sz="0" w:space="0" w:color="auto"/>
        <w:bottom w:val="none" w:sz="0" w:space="0" w:color="auto"/>
        <w:right w:val="none" w:sz="0" w:space="0" w:color="auto"/>
      </w:divBdr>
    </w:div>
    <w:div w:id="694423070">
      <w:bodyDiv w:val="1"/>
      <w:marLeft w:val="0"/>
      <w:marRight w:val="0"/>
      <w:marTop w:val="0"/>
      <w:marBottom w:val="0"/>
      <w:divBdr>
        <w:top w:val="none" w:sz="0" w:space="0" w:color="auto"/>
        <w:left w:val="none" w:sz="0" w:space="0" w:color="auto"/>
        <w:bottom w:val="none" w:sz="0" w:space="0" w:color="auto"/>
        <w:right w:val="none" w:sz="0" w:space="0" w:color="auto"/>
      </w:divBdr>
    </w:div>
    <w:div w:id="709963135">
      <w:bodyDiv w:val="1"/>
      <w:marLeft w:val="0"/>
      <w:marRight w:val="0"/>
      <w:marTop w:val="0"/>
      <w:marBottom w:val="0"/>
      <w:divBdr>
        <w:top w:val="none" w:sz="0" w:space="0" w:color="auto"/>
        <w:left w:val="none" w:sz="0" w:space="0" w:color="auto"/>
        <w:bottom w:val="none" w:sz="0" w:space="0" w:color="auto"/>
        <w:right w:val="none" w:sz="0" w:space="0" w:color="auto"/>
      </w:divBdr>
    </w:div>
    <w:div w:id="733741533">
      <w:bodyDiv w:val="1"/>
      <w:marLeft w:val="0"/>
      <w:marRight w:val="0"/>
      <w:marTop w:val="0"/>
      <w:marBottom w:val="0"/>
      <w:divBdr>
        <w:top w:val="none" w:sz="0" w:space="0" w:color="auto"/>
        <w:left w:val="none" w:sz="0" w:space="0" w:color="auto"/>
        <w:bottom w:val="none" w:sz="0" w:space="0" w:color="auto"/>
        <w:right w:val="none" w:sz="0" w:space="0" w:color="auto"/>
      </w:divBdr>
    </w:div>
    <w:div w:id="738788419">
      <w:bodyDiv w:val="1"/>
      <w:marLeft w:val="0"/>
      <w:marRight w:val="0"/>
      <w:marTop w:val="0"/>
      <w:marBottom w:val="0"/>
      <w:divBdr>
        <w:top w:val="none" w:sz="0" w:space="0" w:color="auto"/>
        <w:left w:val="none" w:sz="0" w:space="0" w:color="auto"/>
        <w:bottom w:val="none" w:sz="0" w:space="0" w:color="auto"/>
        <w:right w:val="none" w:sz="0" w:space="0" w:color="auto"/>
      </w:divBdr>
    </w:div>
    <w:div w:id="752512552">
      <w:bodyDiv w:val="1"/>
      <w:marLeft w:val="0"/>
      <w:marRight w:val="0"/>
      <w:marTop w:val="0"/>
      <w:marBottom w:val="0"/>
      <w:divBdr>
        <w:top w:val="none" w:sz="0" w:space="0" w:color="auto"/>
        <w:left w:val="none" w:sz="0" w:space="0" w:color="auto"/>
        <w:bottom w:val="none" w:sz="0" w:space="0" w:color="auto"/>
        <w:right w:val="none" w:sz="0" w:space="0" w:color="auto"/>
      </w:divBdr>
    </w:div>
    <w:div w:id="765151190">
      <w:bodyDiv w:val="1"/>
      <w:marLeft w:val="0"/>
      <w:marRight w:val="0"/>
      <w:marTop w:val="0"/>
      <w:marBottom w:val="0"/>
      <w:divBdr>
        <w:top w:val="none" w:sz="0" w:space="0" w:color="auto"/>
        <w:left w:val="none" w:sz="0" w:space="0" w:color="auto"/>
        <w:bottom w:val="none" w:sz="0" w:space="0" w:color="auto"/>
        <w:right w:val="none" w:sz="0" w:space="0" w:color="auto"/>
      </w:divBdr>
    </w:div>
    <w:div w:id="771584198">
      <w:bodyDiv w:val="1"/>
      <w:marLeft w:val="0"/>
      <w:marRight w:val="0"/>
      <w:marTop w:val="0"/>
      <w:marBottom w:val="0"/>
      <w:divBdr>
        <w:top w:val="none" w:sz="0" w:space="0" w:color="auto"/>
        <w:left w:val="none" w:sz="0" w:space="0" w:color="auto"/>
        <w:bottom w:val="none" w:sz="0" w:space="0" w:color="auto"/>
        <w:right w:val="none" w:sz="0" w:space="0" w:color="auto"/>
      </w:divBdr>
    </w:div>
    <w:div w:id="779953496">
      <w:bodyDiv w:val="1"/>
      <w:marLeft w:val="0"/>
      <w:marRight w:val="0"/>
      <w:marTop w:val="0"/>
      <w:marBottom w:val="0"/>
      <w:divBdr>
        <w:top w:val="none" w:sz="0" w:space="0" w:color="auto"/>
        <w:left w:val="none" w:sz="0" w:space="0" w:color="auto"/>
        <w:bottom w:val="none" w:sz="0" w:space="0" w:color="auto"/>
        <w:right w:val="none" w:sz="0" w:space="0" w:color="auto"/>
      </w:divBdr>
    </w:div>
    <w:div w:id="791366127">
      <w:bodyDiv w:val="1"/>
      <w:marLeft w:val="0"/>
      <w:marRight w:val="0"/>
      <w:marTop w:val="0"/>
      <w:marBottom w:val="0"/>
      <w:divBdr>
        <w:top w:val="none" w:sz="0" w:space="0" w:color="auto"/>
        <w:left w:val="none" w:sz="0" w:space="0" w:color="auto"/>
        <w:bottom w:val="none" w:sz="0" w:space="0" w:color="auto"/>
        <w:right w:val="none" w:sz="0" w:space="0" w:color="auto"/>
      </w:divBdr>
    </w:div>
    <w:div w:id="808598636">
      <w:bodyDiv w:val="1"/>
      <w:marLeft w:val="0"/>
      <w:marRight w:val="0"/>
      <w:marTop w:val="0"/>
      <w:marBottom w:val="0"/>
      <w:divBdr>
        <w:top w:val="none" w:sz="0" w:space="0" w:color="auto"/>
        <w:left w:val="none" w:sz="0" w:space="0" w:color="auto"/>
        <w:bottom w:val="none" w:sz="0" w:space="0" w:color="auto"/>
        <w:right w:val="none" w:sz="0" w:space="0" w:color="auto"/>
      </w:divBdr>
    </w:div>
    <w:div w:id="812020794">
      <w:bodyDiv w:val="1"/>
      <w:marLeft w:val="0"/>
      <w:marRight w:val="0"/>
      <w:marTop w:val="0"/>
      <w:marBottom w:val="0"/>
      <w:divBdr>
        <w:top w:val="none" w:sz="0" w:space="0" w:color="auto"/>
        <w:left w:val="none" w:sz="0" w:space="0" w:color="auto"/>
        <w:bottom w:val="none" w:sz="0" w:space="0" w:color="auto"/>
        <w:right w:val="none" w:sz="0" w:space="0" w:color="auto"/>
      </w:divBdr>
    </w:div>
    <w:div w:id="815610767">
      <w:bodyDiv w:val="1"/>
      <w:marLeft w:val="0"/>
      <w:marRight w:val="0"/>
      <w:marTop w:val="0"/>
      <w:marBottom w:val="0"/>
      <w:divBdr>
        <w:top w:val="none" w:sz="0" w:space="0" w:color="auto"/>
        <w:left w:val="none" w:sz="0" w:space="0" w:color="auto"/>
        <w:bottom w:val="none" w:sz="0" w:space="0" w:color="auto"/>
        <w:right w:val="none" w:sz="0" w:space="0" w:color="auto"/>
      </w:divBdr>
    </w:div>
    <w:div w:id="820586324">
      <w:bodyDiv w:val="1"/>
      <w:marLeft w:val="0"/>
      <w:marRight w:val="0"/>
      <w:marTop w:val="0"/>
      <w:marBottom w:val="0"/>
      <w:divBdr>
        <w:top w:val="none" w:sz="0" w:space="0" w:color="auto"/>
        <w:left w:val="none" w:sz="0" w:space="0" w:color="auto"/>
        <w:bottom w:val="none" w:sz="0" w:space="0" w:color="auto"/>
        <w:right w:val="none" w:sz="0" w:space="0" w:color="auto"/>
      </w:divBdr>
    </w:div>
    <w:div w:id="933588197">
      <w:bodyDiv w:val="1"/>
      <w:marLeft w:val="0"/>
      <w:marRight w:val="0"/>
      <w:marTop w:val="0"/>
      <w:marBottom w:val="0"/>
      <w:divBdr>
        <w:top w:val="none" w:sz="0" w:space="0" w:color="auto"/>
        <w:left w:val="none" w:sz="0" w:space="0" w:color="auto"/>
        <w:bottom w:val="none" w:sz="0" w:space="0" w:color="auto"/>
        <w:right w:val="none" w:sz="0" w:space="0" w:color="auto"/>
      </w:divBdr>
    </w:div>
    <w:div w:id="950478467">
      <w:bodyDiv w:val="1"/>
      <w:marLeft w:val="0"/>
      <w:marRight w:val="0"/>
      <w:marTop w:val="0"/>
      <w:marBottom w:val="0"/>
      <w:divBdr>
        <w:top w:val="none" w:sz="0" w:space="0" w:color="auto"/>
        <w:left w:val="none" w:sz="0" w:space="0" w:color="auto"/>
        <w:bottom w:val="none" w:sz="0" w:space="0" w:color="auto"/>
        <w:right w:val="none" w:sz="0" w:space="0" w:color="auto"/>
      </w:divBdr>
    </w:div>
    <w:div w:id="956370821">
      <w:bodyDiv w:val="1"/>
      <w:marLeft w:val="0"/>
      <w:marRight w:val="0"/>
      <w:marTop w:val="0"/>
      <w:marBottom w:val="0"/>
      <w:divBdr>
        <w:top w:val="none" w:sz="0" w:space="0" w:color="auto"/>
        <w:left w:val="none" w:sz="0" w:space="0" w:color="auto"/>
        <w:bottom w:val="none" w:sz="0" w:space="0" w:color="auto"/>
        <w:right w:val="none" w:sz="0" w:space="0" w:color="auto"/>
      </w:divBdr>
    </w:div>
    <w:div w:id="956374260">
      <w:bodyDiv w:val="1"/>
      <w:marLeft w:val="0"/>
      <w:marRight w:val="0"/>
      <w:marTop w:val="0"/>
      <w:marBottom w:val="0"/>
      <w:divBdr>
        <w:top w:val="none" w:sz="0" w:space="0" w:color="auto"/>
        <w:left w:val="none" w:sz="0" w:space="0" w:color="auto"/>
        <w:bottom w:val="none" w:sz="0" w:space="0" w:color="auto"/>
        <w:right w:val="none" w:sz="0" w:space="0" w:color="auto"/>
      </w:divBdr>
    </w:div>
    <w:div w:id="989089765">
      <w:bodyDiv w:val="1"/>
      <w:marLeft w:val="0"/>
      <w:marRight w:val="0"/>
      <w:marTop w:val="0"/>
      <w:marBottom w:val="0"/>
      <w:divBdr>
        <w:top w:val="none" w:sz="0" w:space="0" w:color="auto"/>
        <w:left w:val="none" w:sz="0" w:space="0" w:color="auto"/>
        <w:bottom w:val="none" w:sz="0" w:space="0" w:color="auto"/>
        <w:right w:val="none" w:sz="0" w:space="0" w:color="auto"/>
      </w:divBdr>
    </w:div>
    <w:div w:id="989938240">
      <w:bodyDiv w:val="1"/>
      <w:marLeft w:val="0"/>
      <w:marRight w:val="0"/>
      <w:marTop w:val="0"/>
      <w:marBottom w:val="0"/>
      <w:divBdr>
        <w:top w:val="none" w:sz="0" w:space="0" w:color="auto"/>
        <w:left w:val="none" w:sz="0" w:space="0" w:color="auto"/>
        <w:bottom w:val="none" w:sz="0" w:space="0" w:color="auto"/>
        <w:right w:val="none" w:sz="0" w:space="0" w:color="auto"/>
      </w:divBdr>
    </w:div>
    <w:div w:id="997146907">
      <w:bodyDiv w:val="1"/>
      <w:marLeft w:val="0"/>
      <w:marRight w:val="0"/>
      <w:marTop w:val="0"/>
      <w:marBottom w:val="0"/>
      <w:divBdr>
        <w:top w:val="none" w:sz="0" w:space="0" w:color="auto"/>
        <w:left w:val="none" w:sz="0" w:space="0" w:color="auto"/>
        <w:bottom w:val="none" w:sz="0" w:space="0" w:color="auto"/>
        <w:right w:val="none" w:sz="0" w:space="0" w:color="auto"/>
      </w:divBdr>
    </w:div>
    <w:div w:id="1001390578">
      <w:bodyDiv w:val="1"/>
      <w:marLeft w:val="0"/>
      <w:marRight w:val="0"/>
      <w:marTop w:val="0"/>
      <w:marBottom w:val="0"/>
      <w:divBdr>
        <w:top w:val="none" w:sz="0" w:space="0" w:color="auto"/>
        <w:left w:val="none" w:sz="0" w:space="0" w:color="auto"/>
        <w:bottom w:val="none" w:sz="0" w:space="0" w:color="auto"/>
        <w:right w:val="none" w:sz="0" w:space="0" w:color="auto"/>
      </w:divBdr>
    </w:div>
    <w:div w:id="1017002369">
      <w:bodyDiv w:val="1"/>
      <w:marLeft w:val="0"/>
      <w:marRight w:val="0"/>
      <w:marTop w:val="0"/>
      <w:marBottom w:val="0"/>
      <w:divBdr>
        <w:top w:val="none" w:sz="0" w:space="0" w:color="auto"/>
        <w:left w:val="none" w:sz="0" w:space="0" w:color="auto"/>
        <w:bottom w:val="none" w:sz="0" w:space="0" w:color="auto"/>
        <w:right w:val="none" w:sz="0" w:space="0" w:color="auto"/>
      </w:divBdr>
    </w:div>
    <w:div w:id="1061489901">
      <w:bodyDiv w:val="1"/>
      <w:marLeft w:val="0"/>
      <w:marRight w:val="0"/>
      <w:marTop w:val="0"/>
      <w:marBottom w:val="0"/>
      <w:divBdr>
        <w:top w:val="none" w:sz="0" w:space="0" w:color="auto"/>
        <w:left w:val="none" w:sz="0" w:space="0" w:color="auto"/>
        <w:bottom w:val="none" w:sz="0" w:space="0" w:color="auto"/>
        <w:right w:val="none" w:sz="0" w:space="0" w:color="auto"/>
      </w:divBdr>
    </w:div>
    <w:div w:id="1073896130">
      <w:bodyDiv w:val="1"/>
      <w:marLeft w:val="0"/>
      <w:marRight w:val="0"/>
      <w:marTop w:val="0"/>
      <w:marBottom w:val="0"/>
      <w:divBdr>
        <w:top w:val="none" w:sz="0" w:space="0" w:color="auto"/>
        <w:left w:val="none" w:sz="0" w:space="0" w:color="auto"/>
        <w:bottom w:val="none" w:sz="0" w:space="0" w:color="auto"/>
        <w:right w:val="none" w:sz="0" w:space="0" w:color="auto"/>
      </w:divBdr>
    </w:div>
    <w:div w:id="1106267996">
      <w:bodyDiv w:val="1"/>
      <w:marLeft w:val="0"/>
      <w:marRight w:val="0"/>
      <w:marTop w:val="0"/>
      <w:marBottom w:val="0"/>
      <w:divBdr>
        <w:top w:val="none" w:sz="0" w:space="0" w:color="auto"/>
        <w:left w:val="none" w:sz="0" w:space="0" w:color="auto"/>
        <w:bottom w:val="none" w:sz="0" w:space="0" w:color="auto"/>
        <w:right w:val="none" w:sz="0" w:space="0" w:color="auto"/>
      </w:divBdr>
    </w:div>
    <w:div w:id="1149712755">
      <w:bodyDiv w:val="1"/>
      <w:marLeft w:val="0"/>
      <w:marRight w:val="0"/>
      <w:marTop w:val="0"/>
      <w:marBottom w:val="0"/>
      <w:divBdr>
        <w:top w:val="none" w:sz="0" w:space="0" w:color="auto"/>
        <w:left w:val="none" w:sz="0" w:space="0" w:color="auto"/>
        <w:bottom w:val="none" w:sz="0" w:space="0" w:color="auto"/>
        <w:right w:val="none" w:sz="0" w:space="0" w:color="auto"/>
      </w:divBdr>
    </w:div>
    <w:div w:id="1167869465">
      <w:bodyDiv w:val="1"/>
      <w:marLeft w:val="0"/>
      <w:marRight w:val="0"/>
      <w:marTop w:val="0"/>
      <w:marBottom w:val="0"/>
      <w:divBdr>
        <w:top w:val="none" w:sz="0" w:space="0" w:color="auto"/>
        <w:left w:val="none" w:sz="0" w:space="0" w:color="auto"/>
        <w:bottom w:val="none" w:sz="0" w:space="0" w:color="auto"/>
        <w:right w:val="none" w:sz="0" w:space="0" w:color="auto"/>
      </w:divBdr>
    </w:div>
    <w:div w:id="1184175505">
      <w:bodyDiv w:val="1"/>
      <w:marLeft w:val="0"/>
      <w:marRight w:val="0"/>
      <w:marTop w:val="0"/>
      <w:marBottom w:val="0"/>
      <w:divBdr>
        <w:top w:val="none" w:sz="0" w:space="0" w:color="auto"/>
        <w:left w:val="none" w:sz="0" w:space="0" w:color="auto"/>
        <w:bottom w:val="none" w:sz="0" w:space="0" w:color="auto"/>
        <w:right w:val="none" w:sz="0" w:space="0" w:color="auto"/>
      </w:divBdr>
    </w:div>
    <w:div w:id="1191533232">
      <w:bodyDiv w:val="1"/>
      <w:marLeft w:val="0"/>
      <w:marRight w:val="0"/>
      <w:marTop w:val="0"/>
      <w:marBottom w:val="0"/>
      <w:divBdr>
        <w:top w:val="none" w:sz="0" w:space="0" w:color="auto"/>
        <w:left w:val="none" w:sz="0" w:space="0" w:color="auto"/>
        <w:bottom w:val="none" w:sz="0" w:space="0" w:color="auto"/>
        <w:right w:val="none" w:sz="0" w:space="0" w:color="auto"/>
      </w:divBdr>
    </w:div>
    <w:div w:id="1207140108">
      <w:bodyDiv w:val="1"/>
      <w:marLeft w:val="0"/>
      <w:marRight w:val="0"/>
      <w:marTop w:val="0"/>
      <w:marBottom w:val="0"/>
      <w:divBdr>
        <w:top w:val="none" w:sz="0" w:space="0" w:color="auto"/>
        <w:left w:val="none" w:sz="0" w:space="0" w:color="auto"/>
        <w:bottom w:val="none" w:sz="0" w:space="0" w:color="auto"/>
        <w:right w:val="none" w:sz="0" w:space="0" w:color="auto"/>
      </w:divBdr>
    </w:div>
    <w:div w:id="1211840514">
      <w:bodyDiv w:val="1"/>
      <w:marLeft w:val="0"/>
      <w:marRight w:val="0"/>
      <w:marTop w:val="0"/>
      <w:marBottom w:val="0"/>
      <w:divBdr>
        <w:top w:val="none" w:sz="0" w:space="0" w:color="auto"/>
        <w:left w:val="none" w:sz="0" w:space="0" w:color="auto"/>
        <w:bottom w:val="none" w:sz="0" w:space="0" w:color="auto"/>
        <w:right w:val="none" w:sz="0" w:space="0" w:color="auto"/>
      </w:divBdr>
    </w:div>
    <w:div w:id="1212232348">
      <w:bodyDiv w:val="1"/>
      <w:marLeft w:val="0"/>
      <w:marRight w:val="0"/>
      <w:marTop w:val="0"/>
      <w:marBottom w:val="0"/>
      <w:divBdr>
        <w:top w:val="none" w:sz="0" w:space="0" w:color="auto"/>
        <w:left w:val="none" w:sz="0" w:space="0" w:color="auto"/>
        <w:bottom w:val="none" w:sz="0" w:space="0" w:color="auto"/>
        <w:right w:val="none" w:sz="0" w:space="0" w:color="auto"/>
      </w:divBdr>
    </w:div>
    <w:div w:id="1214270182">
      <w:bodyDiv w:val="1"/>
      <w:marLeft w:val="0"/>
      <w:marRight w:val="0"/>
      <w:marTop w:val="0"/>
      <w:marBottom w:val="0"/>
      <w:divBdr>
        <w:top w:val="none" w:sz="0" w:space="0" w:color="auto"/>
        <w:left w:val="none" w:sz="0" w:space="0" w:color="auto"/>
        <w:bottom w:val="none" w:sz="0" w:space="0" w:color="auto"/>
        <w:right w:val="none" w:sz="0" w:space="0" w:color="auto"/>
      </w:divBdr>
    </w:div>
    <w:div w:id="1232159385">
      <w:bodyDiv w:val="1"/>
      <w:marLeft w:val="0"/>
      <w:marRight w:val="0"/>
      <w:marTop w:val="0"/>
      <w:marBottom w:val="0"/>
      <w:divBdr>
        <w:top w:val="none" w:sz="0" w:space="0" w:color="auto"/>
        <w:left w:val="none" w:sz="0" w:space="0" w:color="auto"/>
        <w:bottom w:val="none" w:sz="0" w:space="0" w:color="auto"/>
        <w:right w:val="none" w:sz="0" w:space="0" w:color="auto"/>
      </w:divBdr>
    </w:div>
    <w:div w:id="1283457217">
      <w:bodyDiv w:val="1"/>
      <w:marLeft w:val="0"/>
      <w:marRight w:val="0"/>
      <w:marTop w:val="0"/>
      <w:marBottom w:val="0"/>
      <w:divBdr>
        <w:top w:val="none" w:sz="0" w:space="0" w:color="auto"/>
        <w:left w:val="none" w:sz="0" w:space="0" w:color="auto"/>
        <w:bottom w:val="none" w:sz="0" w:space="0" w:color="auto"/>
        <w:right w:val="none" w:sz="0" w:space="0" w:color="auto"/>
      </w:divBdr>
    </w:div>
    <w:div w:id="1326785662">
      <w:bodyDiv w:val="1"/>
      <w:marLeft w:val="0"/>
      <w:marRight w:val="0"/>
      <w:marTop w:val="0"/>
      <w:marBottom w:val="0"/>
      <w:divBdr>
        <w:top w:val="none" w:sz="0" w:space="0" w:color="auto"/>
        <w:left w:val="none" w:sz="0" w:space="0" w:color="auto"/>
        <w:bottom w:val="none" w:sz="0" w:space="0" w:color="auto"/>
        <w:right w:val="none" w:sz="0" w:space="0" w:color="auto"/>
      </w:divBdr>
    </w:div>
    <w:div w:id="1338969520">
      <w:bodyDiv w:val="1"/>
      <w:marLeft w:val="0"/>
      <w:marRight w:val="0"/>
      <w:marTop w:val="0"/>
      <w:marBottom w:val="0"/>
      <w:divBdr>
        <w:top w:val="none" w:sz="0" w:space="0" w:color="auto"/>
        <w:left w:val="none" w:sz="0" w:space="0" w:color="auto"/>
        <w:bottom w:val="none" w:sz="0" w:space="0" w:color="auto"/>
        <w:right w:val="none" w:sz="0" w:space="0" w:color="auto"/>
      </w:divBdr>
    </w:div>
    <w:div w:id="1342243726">
      <w:bodyDiv w:val="1"/>
      <w:marLeft w:val="0"/>
      <w:marRight w:val="0"/>
      <w:marTop w:val="0"/>
      <w:marBottom w:val="0"/>
      <w:divBdr>
        <w:top w:val="none" w:sz="0" w:space="0" w:color="auto"/>
        <w:left w:val="none" w:sz="0" w:space="0" w:color="auto"/>
        <w:bottom w:val="none" w:sz="0" w:space="0" w:color="auto"/>
        <w:right w:val="none" w:sz="0" w:space="0" w:color="auto"/>
      </w:divBdr>
    </w:div>
    <w:div w:id="1345281899">
      <w:bodyDiv w:val="1"/>
      <w:marLeft w:val="0"/>
      <w:marRight w:val="0"/>
      <w:marTop w:val="0"/>
      <w:marBottom w:val="0"/>
      <w:divBdr>
        <w:top w:val="none" w:sz="0" w:space="0" w:color="auto"/>
        <w:left w:val="none" w:sz="0" w:space="0" w:color="auto"/>
        <w:bottom w:val="none" w:sz="0" w:space="0" w:color="auto"/>
        <w:right w:val="none" w:sz="0" w:space="0" w:color="auto"/>
      </w:divBdr>
    </w:div>
    <w:div w:id="1384333465">
      <w:bodyDiv w:val="1"/>
      <w:marLeft w:val="0"/>
      <w:marRight w:val="0"/>
      <w:marTop w:val="0"/>
      <w:marBottom w:val="0"/>
      <w:divBdr>
        <w:top w:val="none" w:sz="0" w:space="0" w:color="auto"/>
        <w:left w:val="none" w:sz="0" w:space="0" w:color="auto"/>
        <w:bottom w:val="none" w:sz="0" w:space="0" w:color="auto"/>
        <w:right w:val="none" w:sz="0" w:space="0" w:color="auto"/>
      </w:divBdr>
    </w:div>
    <w:div w:id="1393190348">
      <w:bodyDiv w:val="1"/>
      <w:marLeft w:val="0"/>
      <w:marRight w:val="0"/>
      <w:marTop w:val="0"/>
      <w:marBottom w:val="0"/>
      <w:divBdr>
        <w:top w:val="none" w:sz="0" w:space="0" w:color="auto"/>
        <w:left w:val="none" w:sz="0" w:space="0" w:color="auto"/>
        <w:bottom w:val="none" w:sz="0" w:space="0" w:color="auto"/>
        <w:right w:val="none" w:sz="0" w:space="0" w:color="auto"/>
      </w:divBdr>
    </w:div>
    <w:div w:id="1402872291">
      <w:bodyDiv w:val="1"/>
      <w:marLeft w:val="0"/>
      <w:marRight w:val="0"/>
      <w:marTop w:val="0"/>
      <w:marBottom w:val="0"/>
      <w:divBdr>
        <w:top w:val="none" w:sz="0" w:space="0" w:color="auto"/>
        <w:left w:val="none" w:sz="0" w:space="0" w:color="auto"/>
        <w:bottom w:val="none" w:sz="0" w:space="0" w:color="auto"/>
        <w:right w:val="none" w:sz="0" w:space="0" w:color="auto"/>
      </w:divBdr>
    </w:div>
    <w:div w:id="1428581368">
      <w:bodyDiv w:val="1"/>
      <w:marLeft w:val="0"/>
      <w:marRight w:val="0"/>
      <w:marTop w:val="0"/>
      <w:marBottom w:val="0"/>
      <w:divBdr>
        <w:top w:val="none" w:sz="0" w:space="0" w:color="auto"/>
        <w:left w:val="none" w:sz="0" w:space="0" w:color="auto"/>
        <w:bottom w:val="none" w:sz="0" w:space="0" w:color="auto"/>
        <w:right w:val="none" w:sz="0" w:space="0" w:color="auto"/>
      </w:divBdr>
    </w:div>
    <w:div w:id="1429302925">
      <w:bodyDiv w:val="1"/>
      <w:marLeft w:val="0"/>
      <w:marRight w:val="0"/>
      <w:marTop w:val="0"/>
      <w:marBottom w:val="0"/>
      <w:divBdr>
        <w:top w:val="none" w:sz="0" w:space="0" w:color="auto"/>
        <w:left w:val="none" w:sz="0" w:space="0" w:color="auto"/>
        <w:bottom w:val="none" w:sz="0" w:space="0" w:color="auto"/>
        <w:right w:val="none" w:sz="0" w:space="0" w:color="auto"/>
      </w:divBdr>
    </w:div>
    <w:div w:id="1439985082">
      <w:bodyDiv w:val="1"/>
      <w:marLeft w:val="0"/>
      <w:marRight w:val="0"/>
      <w:marTop w:val="0"/>
      <w:marBottom w:val="0"/>
      <w:divBdr>
        <w:top w:val="none" w:sz="0" w:space="0" w:color="auto"/>
        <w:left w:val="none" w:sz="0" w:space="0" w:color="auto"/>
        <w:bottom w:val="none" w:sz="0" w:space="0" w:color="auto"/>
        <w:right w:val="none" w:sz="0" w:space="0" w:color="auto"/>
      </w:divBdr>
    </w:div>
    <w:div w:id="1465461760">
      <w:bodyDiv w:val="1"/>
      <w:marLeft w:val="0"/>
      <w:marRight w:val="0"/>
      <w:marTop w:val="0"/>
      <w:marBottom w:val="0"/>
      <w:divBdr>
        <w:top w:val="none" w:sz="0" w:space="0" w:color="auto"/>
        <w:left w:val="none" w:sz="0" w:space="0" w:color="auto"/>
        <w:bottom w:val="none" w:sz="0" w:space="0" w:color="auto"/>
        <w:right w:val="none" w:sz="0" w:space="0" w:color="auto"/>
      </w:divBdr>
    </w:div>
    <w:div w:id="1526792539">
      <w:bodyDiv w:val="1"/>
      <w:marLeft w:val="0"/>
      <w:marRight w:val="0"/>
      <w:marTop w:val="0"/>
      <w:marBottom w:val="0"/>
      <w:divBdr>
        <w:top w:val="none" w:sz="0" w:space="0" w:color="auto"/>
        <w:left w:val="none" w:sz="0" w:space="0" w:color="auto"/>
        <w:bottom w:val="none" w:sz="0" w:space="0" w:color="auto"/>
        <w:right w:val="none" w:sz="0" w:space="0" w:color="auto"/>
      </w:divBdr>
    </w:div>
    <w:div w:id="1565291042">
      <w:bodyDiv w:val="1"/>
      <w:marLeft w:val="0"/>
      <w:marRight w:val="0"/>
      <w:marTop w:val="0"/>
      <w:marBottom w:val="0"/>
      <w:divBdr>
        <w:top w:val="none" w:sz="0" w:space="0" w:color="auto"/>
        <w:left w:val="none" w:sz="0" w:space="0" w:color="auto"/>
        <w:bottom w:val="none" w:sz="0" w:space="0" w:color="auto"/>
        <w:right w:val="none" w:sz="0" w:space="0" w:color="auto"/>
      </w:divBdr>
    </w:div>
    <w:div w:id="1625694334">
      <w:bodyDiv w:val="1"/>
      <w:marLeft w:val="0"/>
      <w:marRight w:val="0"/>
      <w:marTop w:val="0"/>
      <w:marBottom w:val="0"/>
      <w:divBdr>
        <w:top w:val="none" w:sz="0" w:space="0" w:color="auto"/>
        <w:left w:val="none" w:sz="0" w:space="0" w:color="auto"/>
        <w:bottom w:val="none" w:sz="0" w:space="0" w:color="auto"/>
        <w:right w:val="none" w:sz="0" w:space="0" w:color="auto"/>
      </w:divBdr>
    </w:div>
    <w:div w:id="1637176739">
      <w:bodyDiv w:val="1"/>
      <w:marLeft w:val="0"/>
      <w:marRight w:val="0"/>
      <w:marTop w:val="0"/>
      <w:marBottom w:val="0"/>
      <w:divBdr>
        <w:top w:val="none" w:sz="0" w:space="0" w:color="auto"/>
        <w:left w:val="none" w:sz="0" w:space="0" w:color="auto"/>
        <w:bottom w:val="none" w:sz="0" w:space="0" w:color="auto"/>
        <w:right w:val="none" w:sz="0" w:space="0" w:color="auto"/>
      </w:divBdr>
    </w:div>
    <w:div w:id="1651788134">
      <w:bodyDiv w:val="1"/>
      <w:marLeft w:val="0"/>
      <w:marRight w:val="0"/>
      <w:marTop w:val="0"/>
      <w:marBottom w:val="0"/>
      <w:divBdr>
        <w:top w:val="none" w:sz="0" w:space="0" w:color="auto"/>
        <w:left w:val="none" w:sz="0" w:space="0" w:color="auto"/>
        <w:bottom w:val="none" w:sz="0" w:space="0" w:color="auto"/>
        <w:right w:val="none" w:sz="0" w:space="0" w:color="auto"/>
      </w:divBdr>
    </w:div>
    <w:div w:id="1662464432">
      <w:bodyDiv w:val="1"/>
      <w:marLeft w:val="0"/>
      <w:marRight w:val="0"/>
      <w:marTop w:val="0"/>
      <w:marBottom w:val="0"/>
      <w:divBdr>
        <w:top w:val="none" w:sz="0" w:space="0" w:color="auto"/>
        <w:left w:val="none" w:sz="0" w:space="0" w:color="auto"/>
        <w:bottom w:val="none" w:sz="0" w:space="0" w:color="auto"/>
        <w:right w:val="none" w:sz="0" w:space="0" w:color="auto"/>
      </w:divBdr>
    </w:div>
    <w:div w:id="1678851527">
      <w:bodyDiv w:val="1"/>
      <w:marLeft w:val="0"/>
      <w:marRight w:val="0"/>
      <w:marTop w:val="0"/>
      <w:marBottom w:val="0"/>
      <w:divBdr>
        <w:top w:val="none" w:sz="0" w:space="0" w:color="auto"/>
        <w:left w:val="none" w:sz="0" w:space="0" w:color="auto"/>
        <w:bottom w:val="none" w:sz="0" w:space="0" w:color="auto"/>
        <w:right w:val="none" w:sz="0" w:space="0" w:color="auto"/>
      </w:divBdr>
    </w:div>
    <w:div w:id="1684090503">
      <w:bodyDiv w:val="1"/>
      <w:marLeft w:val="0"/>
      <w:marRight w:val="0"/>
      <w:marTop w:val="0"/>
      <w:marBottom w:val="0"/>
      <w:divBdr>
        <w:top w:val="none" w:sz="0" w:space="0" w:color="auto"/>
        <w:left w:val="none" w:sz="0" w:space="0" w:color="auto"/>
        <w:bottom w:val="none" w:sz="0" w:space="0" w:color="auto"/>
        <w:right w:val="none" w:sz="0" w:space="0" w:color="auto"/>
      </w:divBdr>
    </w:div>
    <w:div w:id="1686782408">
      <w:bodyDiv w:val="1"/>
      <w:marLeft w:val="0"/>
      <w:marRight w:val="0"/>
      <w:marTop w:val="0"/>
      <w:marBottom w:val="0"/>
      <w:divBdr>
        <w:top w:val="none" w:sz="0" w:space="0" w:color="auto"/>
        <w:left w:val="none" w:sz="0" w:space="0" w:color="auto"/>
        <w:bottom w:val="none" w:sz="0" w:space="0" w:color="auto"/>
        <w:right w:val="none" w:sz="0" w:space="0" w:color="auto"/>
      </w:divBdr>
    </w:div>
    <w:div w:id="1706564693">
      <w:bodyDiv w:val="1"/>
      <w:marLeft w:val="0"/>
      <w:marRight w:val="0"/>
      <w:marTop w:val="0"/>
      <w:marBottom w:val="0"/>
      <w:divBdr>
        <w:top w:val="none" w:sz="0" w:space="0" w:color="auto"/>
        <w:left w:val="none" w:sz="0" w:space="0" w:color="auto"/>
        <w:bottom w:val="none" w:sz="0" w:space="0" w:color="auto"/>
        <w:right w:val="none" w:sz="0" w:space="0" w:color="auto"/>
      </w:divBdr>
    </w:div>
    <w:div w:id="1723629081">
      <w:bodyDiv w:val="1"/>
      <w:marLeft w:val="0"/>
      <w:marRight w:val="0"/>
      <w:marTop w:val="0"/>
      <w:marBottom w:val="0"/>
      <w:divBdr>
        <w:top w:val="none" w:sz="0" w:space="0" w:color="auto"/>
        <w:left w:val="none" w:sz="0" w:space="0" w:color="auto"/>
        <w:bottom w:val="none" w:sz="0" w:space="0" w:color="auto"/>
        <w:right w:val="none" w:sz="0" w:space="0" w:color="auto"/>
      </w:divBdr>
    </w:div>
    <w:div w:id="1740663807">
      <w:bodyDiv w:val="1"/>
      <w:marLeft w:val="0"/>
      <w:marRight w:val="0"/>
      <w:marTop w:val="0"/>
      <w:marBottom w:val="0"/>
      <w:divBdr>
        <w:top w:val="none" w:sz="0" w:space="0" w:color="auto"/>
        <w:left w:val="none" w:sz="0" w:space="0" w:color="auto"/>
        <w:bottom w:val="none" w:sz="0" w:space="0" w:color="auto"/>
        <w:right w:val="none" w:sz="0" w:space="0" w:color="auto"/>
      </w:divBdr>
    </w:div>
    <w:div w:id="1744059748">
      <w:bodyDiv w:val="1"/>
      <w:marLeft w:val="0"/>
      <w:marRight w:val="0"/>
      <w:marTop w:val="0"/>
      <w:marBottom w:val="0"/>
      <w:divBdr>
        <w:top w:val="none" w:sz="0" w:space="0" w:color="auto"/>
        <w:left w:val="none" w:sz="0" w:space="0" w:color="auto"/>
        <w:bottom w:val="none" w:sz="0" w:space="0" w:color="auto"/>
        <w:right w:val="none" w:sz="0" w:space="0" w:color="auto"/>
      </w:divBdr>
    </w:div>
    <w:div w:id="1756054560">
      <w:bodyDiv w:val="1"/>
      <w:marLeft w:val="0"/>
      <w:marRight w:val="0"/>
      <w:marTop w:val="0"/>
      <w:marBottom w:val="0"/>
      <w:divBdr>
        <w:top w:val="none" w:sz="0" w:space="0" w:color="auto"/>
        <w:left w:val="none" w:sz="0" w:space="0" w:color="auto"/>
        <w:bottom w:val="none" w:sz="0" w:space="0" w:color="auto"/>
        <w:right w:val="none" w:sz="0" w:space="0" w:color="auto"/>
      </w:divBdr>
    </w:div>
    <w:div w:id="1775589557">
      <w:bodyDiv w:val="1"/>
      <w:marLeft w:val="0"/>
      <w:marRight w:val="0"/>
      <w:marTop w:val="0"/>
      <w:marBottom w:val="0"/>
      <w:divBdr>
        <w:top w:val="none" w:sz="0" w:space="0" w:color="auto"/>
        <w:left w:val="none" w:sz="0" w:space="0" w:color="auto"/>
        <w:bottom w:val="none" w:sz="0" w:space="0" w:color="auto"/>
        <w:right w:val="none" w:sz="0" w:space="0" w:color="auto"/>
      </w:divBdr>
    </w:div>
    <w:div w:id="1776829134">
      <w:bodyDiv w:val="1"/>
      <w:marLeft w:val="0"/>
      <w:marRight w:val="0"/>
      <w:marTop w:val="0"/>
      <w:marBottom w:val="0"/>
      <w:divBdr>
        <w:top w:val="none" w:sz="0" w:space="0" w:color="auto"/>
        <w:left w:val="none" w:sz="0" w:space="0" w:color="auto"/>
        <w:bottom w:val="none" w:sz="0" w:space="0" w:color="auto"/>
        <w:right w:val="none" w:sz="0" w:space="0" w:color="auto"/>
      </w:divBdr>
    </w:div>
    <w:div w:id="1784835694">
      <w:bodyDiv w:val="1"/>
      <w:marLeft w:val="0"/>
      <w:marRight w:val="0"/>
      <w:marTop w:val="0"/>
      <w:marBottom w:val="0"/>
      <w:divBdr>
        <w:top w:val="none" w:sz="0" w:space="0" w:color="auto"/>
        <w:left w:val="none" w:sz="0" w:space="0" w:color="auto"/>
        <w:bottom w:val="none" w:sz="0" w:space="0" w:color="auto"/>
        <w:right w:val="none" w:sz="0" w:space="0" w:color="auto"/>
      </w:divBdr>
    </w:div>
    <w:div w:id="1792549144">
      <w:bodyDiv w:val="1"/>
      <w:marLeft w:val="0"/>
      <w:marRight w:val="0"/>
      <w:marTop w:val="0"/>
      <w:marBottom w:val="0"/>
      <w:divBdr>
        <w:top w:val="none" w:sz="0" w:space="0" w:color="auto"/>
        <w:left w:val="none" w:sz="0" w:space="0" w:color="auto"/>
        <w:bottom w:val="none" w:sz="0" w:space="0" w:color="auto"/>
        <w:right w:val="none" w:sz="0" w:space="0" w:color="auto"/>
      </w:divBdr>
    </w:div>
    <w:div w:id="1793983874">
      <w:bodyDiv w:val="1"/>
      <w:marLeft w:val="0"/>
      <w:marRight w:val="0"/>
      <w:marTop w:val="0"/>
      <w:marBottom w:val="0"/>
      <w:divBdr>
        <w:top w:val="none" w:sz="0" w:space="0" w:color="auto"/>
        <w:left w:val="none" w:sz="0" w:space="0" w:color="auto"/>
        <w:bottom w:val="none" w:sz="0" w:space="0" w:color="auto"/>
        <w:right w:val="none" w:sz="0" w:space="0" w:color="auto"/>
      </w:divBdr>
    </w:div>
    <w:div w:id="1795559758">
      <w:bodyDiv w:val="1"/>
      <w:marLeft w:val="0"/>
      <w:marRight w:val="0"/>
      <w:marTop w:val="0"/>
      <w:marBottom w:val="0"/>
      <w:divBdr>
        <w:top w:val="none" w:sz="0" w:space="0" w:color="auto"/>
        <w:left w:val="none" w:sz="0" w:space="0" w:color="auto"/>
        <w:bottom w:val="none" w:sz="0" w:space="0" w:color="auto"/>
        <w:right w:val="none" w:sz="0" w:space="0" w:color="auto"/>
      </w:divBdr>
      <w:divsChild>
        <w:div w:id="811365496">
          <w:marLeft w:val="0"/>
          <w:marRight w:val="0"/>
          <w:marTop w:val="0"/>
          <w:marBottom w:val="0"/>
          <w:divBdr>
            <w:top w:val="none" w:sz="0" w:space="0" w:color="auto"/>
            <w:left w:val="none" w:sz="0" w:space="0" w:color="auto"/>
            <w:bottom w:val="none" w:sz="0" w:space="0" w:color="auto"/>
            <w:right w:val="none" w:sz="0" w:space="0" w:color="auto"/>
          </w:divBdr>
        </w:div>
        <w:div w:id="972489009">
          <w:marLeft w:val="0"/>
          <w:marRight w:val="0"/>
          <w:marTop w:val="0"/>
          <w:marBottom w:val="0"/>
          <w:divBdr>
            <w:top w:val="none" w:sz="0" w:space="0" w:color="auto"/>
            <w:left w:val="none" w:sz="0" w:space="0" w:color="auto"/>
            <w:bottom w:val="none" w:sz="0" w:space="0" w:color="auto"/>
            <w:right w:val="none" w:sz="0" w:space="0" w:color="auto"/>
          </w:divBdr>
        </w:div>
        <w:div w:id="1159268915">
          <w:marLeft w:val="0"/>
          <w:marRight w:val="0"/>
          <w:marTop w:val="0"/>
          <w:marBottom w:val="0"/>
          <w:divBdr>
            <w:top w:val="none" w:sz="0" w:space="0" w:color="auto"/>
            <w:left w:val="none" w:sz="0" w:space="0" w:color="auto"/>
            <w:bottom w:val="none" w:sz="0" w:space="0" w:color="auto"/>
            <w:right w:val="none" w:sz="0" w:space="0" w:color="auto"/>
          </w:divBdr>
        </w:div>
        <w:div w:id="1404109920">
          <w:marLeft w:val="0"/>
          <w:marRight w:val="0"/>
          <w:marTop w:val="0"/>
          <w:marBottom w:val="0"/>
          <w:divBdr>
            <w:top w:val="none" w:sz="0" w:space="0" w:color="auto"/>
            <w:left w:val="none" w:sz="0" w:space="0" w:color="auto"/>
            <w:bottom w:val="none" w:sz="0" w:space="0" w:color="auto"/>
            <w:right w:val="none" w:sz="0" w:space="0" w:color="auto"/>
          </w:divBdr>
        </w:div>
        <w:div w:id="1404984675">
          <w:marLeft w:val="0"/>
          <w:marRight w:val="0"/>
          <w:marTop w:val="0"/>
          <w:marBottom w:val="0"/>
          <w:divBdr>
            <w:top w:val="none" w:sz="0" w:space="0" w:color="auto"/>
            <w:left w:val="none" w:sz="0" w:space="0" w:color="auto"/>
            <w:bottom w:val="none" w:sz="0" w:space="0" w:color="auto"/>
            <w:right w:val="none" w:sz="0" w:space="0" w:color="auto"/>
          </w:divBdr>
        </w:div>
      </w:divsChild>
    </w:div>
    <w:div w:id="1795714432">
      <w:bodyDiv w:val="1"/>
      <w:marLeft w:val="0"/>
      <w:marRight w:val="0"/>
      <w:marTop w:val="0"/>
      <w:marBottom w:val="0"/>
      <w:divBdr>
        <w:top w:val="none" w:sz="0" w:space="0" w:color="auto"/>
        <w:left w:val="none" w:sz="0" w:space="0" w:color="auto"/>
        <w:bottom w:val="none" w:sz="0" w:space="0" w:color="auto"/>
        <w:right w:val="none" w:sz="0" w:space="0" w:color="auto"/>
      </w:divBdr>
    </w:div>
    <w:div w:id="1807119722">
      <w:bodyDiv w:val="1"/>
      <w:marLeft w:val="0"/>
      <w:marRight w:val="0"/>
      <w:marTop w:val="0"/>
      <w:marBottom w:val="0"/>
      <w:divBdr>
        <w:top w:val="none" w:sz="0" w:space="0" w:color="auto"/>
        <w:left w:val="none" w:sz="0" w:space="0" w:color="auto"/>
        <w:bottom w:val="none" w:sz="0" w:space="0" w:color="auto"/>
        <w:right w:val="none" w:sz="0" w:space="0" w:color="auto"/>
      </w:divBdr>
    </w:div>
    <w:div w:id="1807354665">
      <w:bodyDiv w:val="1"/>
      <w:marLeft w:val="0"/>
      <w:marRight w:val="0"/>
      <w:marTop w:val="0"/>
      <w:marBottom w:val="0"/>
      <w:divBdr>
        <w:top w:val="none" w:sz="0" w:space="0" w:color="auto"/>
        <w:left w:val="none" w:sz="0" w:space="0" w:color="auto"/>
        <w:bottom w:val="none" w:sz="0" w:space="0" w:color="auto"/>
        <w:right w:val="none" w:sz="0" w:space="0" w:color="auto"/>
      </w:divBdr>
    </w:div>
    <w:div w:id="1834880970">
      <w:bodyDiv w:val="1"/>
      <w:marLeft w:val="0"/>
      <w:marRight w:val="0"/>
      <w:marTop w:val="0"/>
      <w:marBottom w:val="0"/>
      <w:divBdr>
        <w:top w:val="none" w:sz="0" w:space="0" w:color="auto"/>
        <w:left w:val="none" w:sz="0" w:space="0" w:color="auto"/>
        <w:bottom w:val="none" w:sz="0" w:space="0" w:color="auto"/>
        <w:right w:val="none" w:sz="0" w:space="0" w:color="auto"/>
      </w:divBdr>
    </w:div>
    <w:div w:id="1835293621">
      <w:bodyDiv w:val="1"/>
      <w:marLeft w:val="0"/>
      <w:marRight w:val="0"/>
      <w:marTop w:val="0"/>
      <w:marBottom w:val="0"/>
      <w:divBdr>
        <w:top w:val="none" w:sz="0" w:space="0" w:color="auto"/>
        <w:left w:val="none" w:sz="0" w:space="0" w:color="auto"/>
        <w:bottom w:val="none" w:sz="0" w:space="0" w:color="auto"/>
        <w:right w:val="none" w:sz="0" w:space="0" w:color="auto"/>
      </w:divBdr>
    </w:div>
    <w:div w:id="1841192453">
      <w:bodyDiv w:val="1"/>
      <w:marLeft w:val="0"/>
      <w:marRight w:val="0"/>
      <w:marTop w:val="0"/>
      <w:marBottom w:val="0"/>
      <w:divBdr>
        <w:top w:val="none" w:sz="0" w:space="0" w:color="auto"/>
        <w:left w:val="none" w:sz="0" w:space="0" w:color="auto"/>
        <w:bottom w:val="none" w:sz="0" w:space="0" w:color="auto"/>
        <w:right w:val="none" w:sz="0" w:space="0" w:color="auto"/>
      </w:divBdr>
    </w:div>
    <w:div w:id="1855879386">
      <w:bodyDiv w:val="1"/>
      <w:marLeft w:val="0"/>
      <w:marRight w:val="0"/>
      <w:marTop w:val="0"/>
      <w:marBottom w:val="0"/>
      <w:divBdr>
        <w:top w:val="none" w:sz="0" w:space="0" w:color="auto"/>
        <w:left w:val="none" w:sz="0" w:space="0" w:color="auto"/>
        <w:bottom w:val="none" w:sz="0" w:space="0" w:color="auto"/>
        <w:right w:val="none" w:sz="0" w:space="0" w:color="auto"/>
      </w:divBdr>
    </w:div>
    <w:div w:id="1859271138">
      <w:bodyDiv w:val="1"/>
      <w:marLeft w:val="0"/>
      <w:marRight w:val="0"/>
      <w:marTop w:val="0"/>
      <w:marBottom w:val="0"/>
      <w:divBdr>
        <w:top w:val="none" w:sz="0" w:space="0" w:color="auto"/>
        <w:left w:val="none" w:sz="0" w:space="0" w:color="auto"/>
        <w:bottom w:val="none" w:sz="0" w:space="0" w:color="auto"/>
        <w:right w:val="none" w:sz="0" w:space="0" w:color="auto"/>
      </w:divBdr>
    </w:div>
    <w:div w:id="1868565206">
      <w:bodyDiv w:val="1"/>
      <w:marLeft w:val="0"/>
      <w:marRight w:val="0"/>
      <w:marTop w:val="0"/>
      <w:marBottom w:val="0"/>
      <w:divBdr>
        <w:top w:val="none" w:sz="0" w:space="0" w:color="auto"/>
        <w:left w:val="none" w:sz="0" w:space="0" w:color="auto"/>
        <w:bottom w:val="none" w:sz="0" w:space="0" w:color="auto"/>
        <w:right w:val="none" w:sz="0" w:space="0" w:color="auto"/>
      </w:divBdr>
    </w:div>
    <w:div w:id="1876892767">
      <w:bodyDiv w:val="1"/>
      <w:marLeft w:val="0"/>
      <w:marRight w:val="0"/>
      <w:marTop w:val="0"/>
      <w:marBottom w:val="0"/>
      <w:divBdr>
        <w:top w:val="none" w:sz="0" w:space="0" w:color="auto"/>
        <w:left w:val="none" w:sz="0" w:space="0" w:color="auto"/>
        <w:bottom w:val="none" w:sz="0" w:space="0" w:color="auto"/>
        <w:right w:val="none" w:sz="0" w:space="0" w:color="auto"/>
      </w:divBdr>
    </w:div>
    <w:div w:id="1897277436">
      <w:bodyDiv w:val="1"/>
      <w:marLeft w:val="0"/>
      <w:marRight w:val="0"/>
      <w:marTop w:val="0"/>
      <w:marBottom w:val="0"/>
      <w:divBdr>
        <w:top w:val="none" w:sz="0" w:space="0" w:color="auto"/>
        <w:left w:val="none" w:sz="0" w:space="0" w:color="auto"/>
        <w:bottom w:val="none" w:sz="0" w:space="0" w:color="auto"/>
        <w:right w:val="none" w:sz="0" w:space="0" w:color="auto"/>
      </w:divBdr>
    </w:div>
    <w:div w:id="1910268984">
      <w:bodyDiv w:val="1"/>
      <w:marLeft w:val="0"/>
      <w:marRight w:val="0"/>
      <w:marTop w:val="0"/>
      <w:marBottom w:val="0"/>
      <w:divBdr>
        <w:top w:val="none" w:sz="0" w:space="0" w:color="auto"/>
        <w:left w:val="none" w:sz="0" w:space="0" w:color="auto"/>
        <w:bottom w:val="none" w:sz="0" w:space="0" w:color="auto"/>
        <w:right w:val="none" w:sz="0" w:space="0" w:color="auto"/>
      </w:divBdr>
      <w:divsChild>
        <w:div w:id="520357952">
          <w:marLeft w:val="0"/>
          <w:marRight w:val="0"/>
          <w:marTop w:val="0"/>
          <w:marBottom w:val="0"/>
          <w:divBdr>
            <w:top w:val="none" w:sz="0" w:space="0" w:color="auto"/>
            <w:left w:val="none" w:sz="0" w:space="0" w:color="auto"/>
            <w:bottom w:val="none" w:sz="0" w:space="0" w:color="auto"/>
            <w:right w:val="none" w:sz="0" w:space="0" w:color="auto"/>
          </w:divBdr>
        </w:div>
        <w:div w:id="637800347">
          <w:marLeft w:val="0"/>
          <w:marRight w:val="0"/>
          <w:marTop w:val="0"/>
          <w:marBottom w:val="0"/>
          <w:divBdr>
            <w:top w:val="none" w:sz="0" w:space="0" w:color="auto"/>
            <w:left w:val="none" w:sz="0" w:space="0" w:color="auto"/>
            <w:bottom w:val="none" w:sz="0" w:space="0" w:color="auto"/>
            <w:right w:val="none" w:sz="0" w:space="0" w:color="auto"/>
          </w:divBdr>
        </w:div>
        <w:div w:id="1034616883">
          <w:marLeft w:val="0"/>
          <w:marRight w:val="0"/>
          <w:marTop w:val="0"/>
          <w:marBottom w:val="0"/>
          <w:divBdr>
            <w:top w:val="none" w:sz="0" w:space="0" w:color="auto"/>
            <w:left w:val="none" w:sz="0" w:space="0" w:color="auto"/>
            <w:bottom w:val="none" w:sz="0" w:space="0" w:color="auto"/>
            <w:right w:val="none" w:sz="0" w:space="0" w:color="auto"/>
          </w:divBdr>
        </w:div>
        <w:div w:id="1164391774">
          <w:marLeft w:val="0"/>
          <w:marRight w:val="0"/>
          <w:marTop w:val="0"/>
          <w:marBottom w:val="0"/>
          <w:divBdr>
            <w:top w:val="none" w:sz="0" w:space="0" w:color="auto"/>
            <w:left w:val="none" w:sz="0" w:space="0" w:color="auto"/>
            <w:bottom w:val="none" w:sz="0" w:space="0" w:color="auto"/>
            <w:right w:val="none" w:sz="0" w:space="0" w:color="auto"/>
          </w:divBdr>
        </w:div>
        <w:div w:id="2110157453">
          <w:marLeft w:val="0"/>
          <w:marRight w:val="0"/>
          <w:marTop w:val="0"/>
          <w:marBottom w:val="0"/>
          <w:divBdr>
            <w:top w:val="none" w:sz="0" w:space="0" w:color="auto"/>
            <w:left w:val="none" w:sz="0" w:space="0" w:color="auto"/>
            <w:bottom w:val="none" w:sz="0" w:space="0" w:color="auto"/>
            <w:right w:val="none" w:sz="0" w:space="0" w:color="auto"/>
          </w:divBdr>
        </w:div>
      </w:divsChild>
    </w:div>
    <w:div w:id="1916625901">
      <w:bodyDiv w:val="1"/>
      <w:marLeft w:val="0"/>
      <w:marRight w:val="0"/>
      <w:marTop w:val="0"/>
      <w:marBottom w:val="0"/>
      <w:divBdr>
        <w:top w:val="none" w:sz="0" w:space="0" w:color="auto"/>
        <w:left w:val="none" w:sz="0" w:space="0" w:color="auto"/>
        <w:bottom w:val="none" w:sz="0" w:space="0" w:color="auto"/>
        <w:right w:val="none" w:sz="0" w:space="0" w:color="auto"/>
      </w:divBdr>
    </w:div>
    <w:div w:id="1939363783">
      <w:bodyDiv w:val="1"/>
      <w:marLeft w:val="0"/>
      <w:marRight w:val="0"/>
      <w:marTop w:val="0"/>
      <w:marBottom w:val="0"/>
      <w:divBdr>
        <w:top w:val="none" w:sz="0" w:space="0" w:color="auto"/>
        <w:left w:val="none" w:sz="0" w:space="0" w:color="auto"/>
        <w:bottom w:val="none" w:sz="0" w:space="0" w:color="auto"/>
        <w:right w:val="none" w:sz="0" w:space="0" w:color="auto"/>
      </w:divBdr>
    </w:div>
    <w:div w:id="1955091117">
      <w:bodyDiv w:val="1"/>
      <w:marLeft w:val="0"/>
      <w:marRight w:val="0"/>
      <w:marTop w:val="0"/>
      <w:marBottom w:val="0"/>
      <w:divBdr>
        <w:top w:val="none" w:sz="0" w:space="0" w:color="auto"/>
        <w:left w:val="none" w:sz="0" w:space="0" w:color="auto"/>
        <w:bottom w:val="none" w:sz="0" w:space="0" w:color="auto"/>
        <w:right w:val="none" w:sz="0" w:space="0" w:color="auto"/>
      </w:divBdr>
    </w:div>
    <w:div w:id="2001031691">
      <w:bodyDiv w:val="1"/>
      <w:marLeft w:val="0"/>
      <w:marRight w:val="0"/>
      <w:marTop w:val="0"/>
      <w:marBottom w:val="0"/>
      <w:divBdr>
        <w:top w:val="none" w:sz="0" w:space="0" w:color="auto"/>
        <w:left w:val="none" w:sz="0" w:space="0" w:color="auto"/>
        <w:bottom w:val="none" w:sz="0" w:space="0" w:color="auto"/>
        <w:right w:val="none" w:sz="0" w:space="0" w:color="auto"/>
      </w:divBdr>
    </w:div>
    <w:div w:id="2011911846">
      <w:bodyDiv w:val="1"/>
      <w:marLeft w:val="0"/>
      <w:marRight w:val="0"/>
      <w:marTop w:val="0"/>
      <w:marBottom w:val="0"/>
      <w:divBdr>
        <w:top w:val="none" w:sz="0" w:space="0" w:color="auto"/>
        <w:left w:val="none" w:sz="0" w:space="0" w:color="auto"/>
        <w:bottom w:val="none" w:sz="0" w:space="0" w:color="auto"/>
        <w:right w:val="none" w:sz="0" w:space="0" w:color="auto"/>
      </w:divBdr>
    </w:div>
    <w:div w:id="2021615917">
      <w:bodyDiv w:val="1"/>
      <w:marLeft w:val="0"/>
      <w:marRight w:val="0"/>
      <w:marTop w:val="0"/>
      <w:marBottom w:val="0"/>
      <w:divBdr>
        <w:top w:val="none" w:sz="0" w:space="0" w:color="auto"/>
        <w:left w:val="none" w:sz="0" w:space="0" w:color="auto"/>
        <w:bottom w:val="none" w:sz="0" w:space="0" w:color="auto"/>
        <w:right w:val="none" w:sz="0" w:space="0" w:color="auto"/>
      </w:divBdr>
    </w:div>
    <w:div w:id="2037851771">
      <w:bodyDiv w:val="1"/>
      <w:marLeft w:val="0"/>
      <w:marRight w:val="0"/>
      <w:marTop w:val="0"/>
      <w:marBottom w:val="0"/>
      <w:divBdr>
        <w:top w:val="none" w:sz="0" w:space="0" w:color="auto"/>
        <w:left w:val="none" w:sz="0" w:space="0" w:color="auto"/>
        <w:bottom w:val="none" w:sz="0" w:space="0" w:color="auto"/>
        <w:right w:val="none" w:sz="0" w:space="0" w:color="auto"/>
      </w:divBdr>
    </w:div>
    <w:div w:id="2048140889">
      <w:bodyDiv w:val="1"/>
      <w:marLeft w:val="0"/>
      <w:marRight w:val="0"/>
      <w:marTop w:val="0"/>
      <w:marBottom w:val="0"/>
      <w:divBdr>
        <w:top w:val="none" w:sz="0" w:space="0" w:color="auto"/>
        <w:left w:val="none" w:sz="0" w:space="0" w:color="auto"/>
        <w:bottom w:val="none" w:sz="0" w:space="0" w:color="auto"/>
        <w:right w:val="none" w:sz="0" w:space="0" w:color="auto"/>
      </w:divBdr>
    </w:div>
    <w:div w:id="2056083660">
      <w:bodyDiv w:val="1"/>
      <w:marLeft w:val="0"/>
      <w:marRight w:val="0"/>
      <w:marTop w:val="0"/>
      <w:marBottom w:val="0"/>
      <w:divBdr>
        <w:top w:val="none" w:sz="0" w:space="0" w:color="auto"/>
        <w:left w:val="none" w:sz="0" w:space="0" w:color="auto"/>
        <w:bottom w:val="none" w:sz="0" w:space="0" w:color="auto"/>
        <w:right w:val="none" w:sz="0" w:space="0" w:color="auto"/>
      </w:divBdr>
    </w:div>
    <w:div w:id="2061977346">
      <w:bodyDiv w:val="1"/>
      <w:marLeft w:val="0"/>
      <w:marRight w:val="0"/>
      <w:marTop w:val="0"/>
      <w:marBottom w:val="0"/>
      <w:divBdr>
        <w:top w:val="none" w:sz="0" w:space="0" w:color="auto"/>
        <w:left w:val="none" w:sz="0" w:space="0" w:color="auto"/>
        <w:bottom w:val="none" w:sz="0" w:space="0" w:color="auto"/>
        <w:right w:val="none" w:sz="0" w:space="0" w:color="auto"/>
      </w:divBdr>
    </w:div>
    <w:div w:id="2083334582">
      <w:bodyDiv w:val="1"/>
      <w:marLeft w:val="0"/>
      <w:marRight w:val="0"/>
      <w:marTop w:val="0"/>
      <w:marBottom w:val="0"/>
      <w:divBdr>
        <w:top w:val="none" w:sz="0" w:space="0" w:color="auto"/>
        <w:left w:val="none" w:sz="0" w:space="0" w:color="auto"/>
        <w:bottom w:val="none" w:sz="0" w:space="0" w:color="auto"/>
        <w:right w:val="none" w:sz="0" w:space="0" w:color="auto"/>
      </w:divBdr>
    </w:div>
    <w:div w:id="2101565850">
      <w:bodyDiv w:val="1"/>
      <w:marLeft w:val="0"/>
      <w:marRight w:val="0"/>
      <w:marTop w:val="0"/>
      <w:marBottom w:val="0"/>
      <w:divBdr>
        <w:top w:val="none" w:sz="0" w:space="0" w:color="auto"/>
        <w:left w:val="none" w:sz="0" w:space="0" w:color="auto"/>
        <w:bottom w:val="none" w:sz="0" w:space="0" w:color="auto"/>
        <w:right w:val="none" w:sz="0" w:space="0" w:color="auto"/>
      </w:divBdr>
    </w:div>
    <w:div w:id="2126345525">
      <w:bodyDiv w:val="1"/>
      <w:marLeft w:val="0"/>
      <w:marRight w:val="0"/>
      <w:marTop w:val="0"/>
      <w:marBottom w:val="0"/>
      <w:divBdr>
        <w:top w:val="none" w:sz="0" w:space="0" w:color="auto"/>
        <w:left w:val="none" w:sz="0" w:space="0" w:color="auto"/>
        <w:bottom w:val="none" w:sz="0" w:space="0" w:color="auto"/>
        <w:right w:val="none" w:sz="0" w:space="0" w:color="auto"/>
      </w:divBdr>
    </w:div>
    <w:div w:id="21296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unitId=art(31(n))pkt(1)" TargetMode="External"/><Relationship Id="rId18" Type="http://schemas.openxmlformats.org/officeDocument/2006/relationships/hyperlink" Target="https://sip-1lex-1pl-1np1257ea0aab.han.lazarski.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sip.lex.pl/?unitId=art(31(n))pkt(1)" TargetMode="External"/><Relationship Id="rId17" Type="http://schemas.openxmlformats.org/officeDocument/2006/relationships/hyperlink" Target="https://sip.lex.pl/?unitId=art(31(n))pkt(1)" TargetMode="External"/><Relationship Id="rId2" Type="http://schemas.openxmlformats.org/officeDocument/2006/relationships/customXml" Target="../customXml/item2.xml"/><Relationship Id="rId16" Type="http://schemas.openxmlformats.org/officeDocument/2006/relationships/hyperlink" Target="https://sip.lex.pl/?unitId=art(31(n))pkt(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unitId=art(31(n))pkt(1)" TargetMode="External"/><Relationship Id="rId5" Type="http://schemas.openxmlformats.org/officeDocument/2006/relationships/numbering" Target="numbering.xml"/><Relationship Id="rId15" Type="http://schemas.openxmlformats.org/officeDocument/2006/relationships/hyperlink" Target="https://sip.lex.pl/?unitId=art(31(n))pkt(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pacjent.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unitId=art(31(n))pkt(1)"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6F84E36161064CA8970895548E2E47" ma:contentTypeVersion="3" ma:contentTypeDescription="Utwórz nowy dokument." ma:contentTypeScope="" ma:versionID="b67be67b51b25a2ca197616811b923c9">
  <xsd:schema xmlns:xsd="http://www.w3.org/2001/XMLSchema" xmlns:xs="http://www.w3.org/2001/XMLSchema" xmlns:p="http://schemas.microsoft.com/office/2006/metadata/properties" xmlns:ns2="2f312d18-f7a8-4352-a065-aa69d700ce18" targetNamespace="http://schemas.microsoft.com/office/2006/metadata/properties" ma:root="true" ma:fieldsID="9cd6aab82e2f4495c450bcbfea178a6f" ns2:_="">
    <xsd:import namespace="2f312d18-f7a8-4352-a065-aa69d700ce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12d18-f7a8-4352-a065-aa69d700ce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C2482-9B4D-4482-93FC-5653F6B29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12d18-f7a8-4352-a065-aa69d700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AE943-E09A-4ECF-BC14-8EE797874EE3}">
  <ds:schemaRefs>
    <ds:schemaRef ds:uri="http://schemas.microsoft.com/sharepoint/v3/contenttype/forms"/>
  </ds:schemaRefs>
</ds:datastoreItem>
</file>

<file path=customXml/itemProps3.xml><?xml version="1.0" encoding="utf-8"?>
<ds:datastoreItem xmlns:ds="http://schemas.openxmlformats.org/officeDocument/2006/customXml" ds:itemID="{EF9CF7C6-DF3B-4E96-988B-0880C6BE6500}">
  <ds:schemaRefs>
    <ds:schemaRef ds:uri="2f312d18-f7a8-4352-a065-aa69d700ce18"/>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25F6A91-3B59-45A5-A972-1EC28DD48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210</Pages>
  <Words>58952</Words>
  <Characters>353715</Characters>
  <Application>Microsoft Office Word</Application>
  <DocSecurity>0</DocSecurity>
  <Lines>2947</Lines>
  <Paragraphs>823</Paragraphs>
  <ScaleCrop>false</ScaleCrop>
  <Company/>
  <LinksUpToDate>false</LinksUpToDate>
  <CharactersWithSpaces>411844</CharactersWithSpaces>
  <SharedDoc>false</SharedDoc>
  <HLinks>
    <vt:vector size="54" baseType="variant">
      <vt:variant>
        <vt:i4>6750319</vt:i4>
      </vt:variant>
      <vt:variant>
        <vt:i4>24</vt:i4>
      </vt:variant>
      <vt:variant>
        <vt:i4>0</vt:i4>
      </vt:variant>
      <vt:variant>
        <vt:i4>5</vt:i4>
      </vt:variant>
      <vt:variant>
        <vt:lpwstr>http://pacjent.gov.pl/</vt:lpwstr>
      </vt:variant>
      <vt:variant>
        <vt:lpwstr/>
      </vt:variant>
      <vt:variant>
        <vt:i4>1966085</vt:i4>
      </vt:variant>
      <vt:variant>
        <vt:i4>21</vt:i4>
      </vt:variant>
      <vt:variant>
        <vt:i4>0</vt:i4>
      </vt:variant>
      <vt:variant>
        <vt:i4>5</vt:i4>
      </vt:variant>
      <vt:variant>
        <vt:lpwstr>https://sip-1lex-1pl-1np1257ea0aab.han.lazarski.pl/</vt:lpwstr>
      </vt:variant>
      <vt:variant>
        <vt:lpwstr>/document/16798282/2015-12-11?unitId=art(2)</vt:lpwstr>
      </vt:variant>
      <vt:variant>
        <vt:i4>851981</vt:i4>
      </vt:variant>
      <vt:variant>
        <vt:i4>18</vt:i4>
      </vt:variant>
      <vt:variant>
        <vt:i4>0</vt:i4>
      </vt:variant>
      <vt:variant>
        <vt:i4>5</vt:i4>
      </vt:variant>
      <vt:variant>
        <vt:lpwstr>https://sip.lex.pl/?unitId=art(31(n))pkt(1)</vt:lpwstr>
      </vt:variant>
      <vt:variant>
        <vt:lpwstr>/document/17127716</vt:lpwstr>
      </vt:variant>
      <vt:variant>
        <vt:i4>851981</vt:i4>
      </vt:variant>
      <vt:variant>
        <vt:i4>15</vt:i4>
      </vt:variant>
      <vt:variant>
        <vt:i4>0</vt:i4>
      </vt:variant>
      <vt:variant>
        <vt:i4>5</vt:i4>
      </vt:variant>
      <vt:variant>
        <vt:lpwstr>https://sip.lex.pl/?unitId=art(31(n))pkt(1)</vt:lpwstr>
      </vt:variant>
      <vt:variant>
        <vt:lpwstr>/document/17127716</vt:lpwstr>
      </vt:variant>
      <vt:variant>
        <vt:i4>851981</vt:i4>
      </vt:variant>
      <vt:variant>
        <vt:i4>12</vt:i4>
      </vt:variant>
      <vt:variant>
        <vt:i4>0</vt:i4>
      </vt:variant>
      <vt:variant>
        <vt:i4>5</vt:i4>
      </vt:variant>
      <vt:variant>
        <vt:lpwstr>https://sip.lex.pl/?unitId=art(31(n))pkt(1)</vt:lpwstr>
      </vt:variant>
      <vt:variant>
        <vt:lpwstr>/document/17127716</vt:lpwstr>
      </vt:variant>
      <vt:variant>
        <vt:i4>851981</vt:i4>
      </vt:variant>
      <vt:variant>
        <vt:i4>9</vt:i4>
      </vt:variant>
      <vt:variant>
        <vt:i4>0</vt:i4>
      </vt:variant>
      <vt:variant>
        <vt:i4>5</vt:i4>
      </vt:variant>
      <vt:variant>
        <vt:lpwstr>https://sip.lex.pl/?unitId=art(31(n))pkt(1)</vt:lpwstr>
      </vt:variant>
      <vt:variant>
        <vt:lpwstr>/document/17127716</vt:lpwstr>
      </vt:variant>
      <vt:variant>
        <vt:i4>851981</vt:i4>
      </vt:variant>
      <vt:variant>
        <vt:i4>6</vt:i4>
      </vt:variant>
      <vt:variant>
        <vt:i4>0</vt:i4>
      </vt:variant>
      <vt:variant>
        <vt:i4>5</vt:i4>
      </vt:variant>
      <vt:variant>
        <vt:lpwstr>https://sip.lex.pl/?unitId=art(31(n))pkt(1)</vt:lpwstr>
      </vt:variant>
      <vt:variant>
        <vt:lpwstr>/document/17127716</vt:lpwstr>
      </vt:variant>
      <vt:variant>
        <vt:i4>851981</vt:i4>
      </vt:variant>
      <vt:variant>
        <vt:i4>3</vt:i4>
      </vt:variant>
      <vt:variant>
        <vt:i4>0</vt:i4>
      </vt:variant>
      <vt:variant>
        <vt:i4>5</vt:i4>
      </vt:variant>
      <vt:variant>
        <vt:lpwstr>https://sip.lex.pl/?unitId=art(31(n))pkt(1)</vt:lpwstr>
      </vt:variant>
      <vt:variant>
        <vt:lpwstr>/document/17127716</vt:lpwstr>
      </vt:variant>
      <vt:variant>
        <vt:i4>851981</vt:i4>
      </vt:variant>
      <vt:variant>
        <vt:i4>0</vt:i4>
      </vt:variant>
      <vt:variant>
        <vt:i4>0</vt:i4>
      </vt:variant>
      <vt:variant>
        <vt:i4>5</vt:i4>
      </vt:variant>
      <vt:variant>
        <vt:lpwstr>https://sip.lex.pl/?unitId=art(31(n))pkt(1)</vt:lpwstr>
      </vt:variant>
      <vt:variant>
        <vt:lpwstr>/document/17127716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Rogóż Maja</dc:creator>
  <cp:keywords/>
  <dc:description/>
  <cp:lastModifiedBy>Konarska Marlena</cp:lastModifiedBy>
  <cp:revision>44</cp:revision>
  <dcterms:created xsi:type="dcterms:W3CDTF">2026-03-18T06:52:00Z</dcterms:created>
  <dcterms:modified xsi:type="dcterms:W3CDTF">2026-03-18T08:03:00Z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0x010100A66F84E36161064CA8970895548E2E47</vt:lpwstr>
  </property>
  <property fmtid="{D5CDD505-2E9C-101B-9397-08002B2CF9AE}" pid="3" name="docLang">
    <vt:lpwstr>pl</vt:lpwstr>
  </property>
</Properties>
</file>